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66085"/>
      <w:bookmarkEnd w:id="0"/>
      <w:bookmarkStart w:id="1" w:name="_Hlt449016246"/>
      <w:bookmarkEnd w:id="1"/>
      <w:bookmarkStart w:id="2" w:name="_Hlt450039480"/>
      <w:bookmarkEnd w:id="2"/>
      <w:bookmarkStart w:id="3" w:name="_Hlt450066087"/>
      <w:bookmarkEnd w:id="3"/>
      <w:bookmarkStart w:id="4" w:name="_Hlt450051172"/>
      <w:bookmarkEnd w:id="4"/>
      <w:bookmarkStart w:id="5" w:name="_Hlt448930105"/>
      <w:bookmarkEnd w:id="5"/>
      <w:bookmarkStart w:id="6" w:name="OLE_LINK111"/>
      <w:bookmarkStart w:id="7" w:name="OLE_LINK3"/>
      <w:bookmarkStart w:id="8" w:name="OLE_LINK49"/>
      <w:bookmarkStart w:id="9"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eastAsia"/>
          <w:b/>
          <w:sz w:val="24"/>
        </w:rPr>
        <w:t>R4-250396</w:t>
      </w:r>
      <w:r>
        <w:rPr>
          <w:rFonts w:hint="eastAsia" w:eastAsia="宋体"/>
          <w:b/>
          <w:sz w:val="24"/>
          <w:lang w:val="en-US" w:eastAsia="zh-CN"/>
        </w:rPr>
        <w:t>7</w:t>
      </w:r>
      <w:bookmarkStart w:id="17" w:name="_GoBack"/>
      <w:bookmarkEnd w:id="17"/>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p>
      <w:pPr>
        <w:pStyle w:val="74"/>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6"/>
    <w:bookmarkEnd w:id="7"/>
    <w:bookmarkEnd w:id="8"/>
    <w:bookmarkEnd w:id="9"/>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Views on 6Rx SRS antenna IL</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7.1.1.3.4</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1"/>
          <w:rFonts w:hint="default" w:eastAsia="宋体"/>
          <w:b/>
          <w:highlight w:val="none"/>
          <w:lang w:val="en-US" w:eastAsia="zh-CN"/>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lang w:val="en-US" w:eastAsia="zh-CN"/>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the agreements on SRS IL imbalance issue captured in the WF[1]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overflowPunct w:val="0"/>
              <w:autoSpaceDE w:val="0"/>
              <w:autoSpaceDN w:val="0"/>
              <w:adjustRightInd w:val="0"/>
              <w:spacing w:after="180"/>
              <w:jc w:val="left"/>
              <w:textAlignment w:val="baseline"/>
              <w:rPr>
                <w:rFonts w:ascii="Times New Roman" w:hAnsi="Times New Roman" w:eastAsia="Times New Roman" w:cs="Times New Roman"/>
                <w:b/>
                <w:kern w:val="0"/>
                <w:sz w:val="20"/>
                <w:szCs w:val="20"/>
                <w:lang w:val="en-GB" w:eastAsia="zh-CN"/>
              </w:rPr>
            </w:pPr>
            <w:r>
              <w:rPr>
                <w:rFonts w:ascii="Times New Roman" w:hAnsi="Times New Roman" w:eastAsia="Times New Roman" w:cs="Times New Roman"/>
                <w:b/>
                <w:kern w:val="0"/>
                <w:sz w:val="20"/>
                <w:szCs w:val="20"/>
                <w:u w:val="single"/>
                <w:lang w:val="en-GB" w:eastAsia="ko-KR"/>
              </w:rPr>
              <w:t>Issue 3-2-1: Candidate solutions for the SRS IL imbalance issue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lang w:val="en-GB" w:eastAsia="zh-CN"/>
              </w:rPr>
              <w:t>Way forward</w:t>
            </w:r>
            <w:r>
              <w:rPr>
                <w:rFonts w:ascii="Times New Roman" w:hAnsi="Times New Roman" w:eastAsia="Times New Roman" w:cs="Times New Roman"/>
                <w:kern w:val="0"/>
                <w:sz w:val="20"/>
                <w:szCs w:val="20"/>
                <w:lang w:val="en-GB" w:eastAsia="zh-CN"/>
              </w:rPr>
              <w:t>: RAN4 to take the candidate solution framework below as baseline for further discussion.</w:t>
            </w:r>
          </w:p>
          <w:p>
            <w:pPr>
              <w:widowControl/>
              <w:overflowPunct/>
              <w:autoSpaceDE/>
              <w:autoSpaceDN/>
              <w:adjustRightInd/>
              <w:spacing w:after="120"/>
              <w:jc w:val="left"/>
              <w:textAlignment w:val="auto"/>
              <w:rPr>
                <w:rFonts w:ascii="Times New Roman" w:hAnsi="Times New Roman" w:eastAsia="宋体" w:cs="Times New Roman"/>
                <w:kern w:val="0"/>
                <w:sz w:val="20"/>
                <w:szCs w:val="24"/>
                <w:lang w:val="en-GB" w:eastAsia="zh-CN"/>
              </w:rPr>
            </w:pPr>
            <w:r>
              <w:rPr>
                <w:rFonts w:ascii="Times New Roman" w:hAnsi="Times New Roman" w:eastAsia="宋体" w:cs="Times New Roman"/>
                <w:kern w:val="0"/>
                <w:sz w:val="20"/>
                <w:szCs w:val="24"/>
                <w:lang w:val="en-GB" w:eastAsia="zh-CN"/>
              </w:rPr>
              <w:t>Candidate solution framework:</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Rel-19 UE performs self-compensation of SRS IL up to its configured maximum output power.</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FFS on RAN4 specification impacts.</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No RAN1 specification impact.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FFS if UE provides assistance to the network on SRS IL compensation (semi-static and/or dynamic), e.g.</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Per SRS resource power headroom reporting</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Configured maximum output power per SRS resource reporting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SRS insertion loss value reporting (per SRS resource or per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Other</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ΔP</w:t>
            </w:r>
            <w:r>
              <w:rPr>
                <w:rFonts w:ascii="Times New Roman" w:hAnsi="Times New Roman" w:eastAsia="宋体" w:cs="Times New Roman"/>
                <w:vertAlign w:val="subscript"/>
                <w:lang w:val="en-GB" w:eastAsia="zh-CN" w:bidi="ar-SA"/>
              </w:rPr>
              <w:t>PowerClass</w:t>
            </w:r>
            <w:r>
              <w:rPr>
                <w:rFonts w:ascii="Times New Roman" w:hAnsi="Times New Roman" w:eastAsia="宋体" w:cs="Times New Roman"/>
                <w:lang w:val="en-GB" w:eastAsia="zh-CN" w:bidi="ar-SA"/>
              </w:rPr>
              <w:t xml:space="preserve"> reporting is proposed as a package with per SRS resource power headroom and configured maximum output power per SRS resource reporting.</w:t>
            </w:r>
          </w:p>
          <w:p>
            <w:pPr>
              <w:overflowPunct w:val="0"/>
              <w:autoSpaceDE w:val="0"/>
              <w:autoSpaceDN w:val="0"/>
              <w:adjustRightInd w:val="0"/>
              <w:spacing w:after="180"/>
              <w:ind w:left="1135" w:hanging="284"/>
              <w:textAlignment w:val="baseline"/>
              <w:rPr>
                <w:rFonts w:hint="eastAsia" w:cs="Times New Roman"/>
                <w:sz w:val="20"/>
                <w:szCs w:val="20"/>
                <w:vertAlign w:val="baseline"/>
                <w:lang w:val="en-US" w:eastAsia="zh-CN"/>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Others</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For the issues on the reporting SRS antenna IL imbalance, there were no concrete progress up to the last RAN4 meeting. According to the previous discussion, the solutions proposed by companies were still diverse.</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this contribution, we continue discussing the SRS IL imbalance issues and reiterate some proposals in [2].</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sz w:val="20"/>
          <w:lang w:val="en-US" w:eastAsia="zh-CN"/>
        </w:rPr>
      </w:pPr>
      <w:bookmarkStart w:id="10" w:name="OLE_LINK63"/>
      <w:bookmarkStart w:id="11" w:name="OLE_LINK65"/>
      <w:bookmarkStart w:id="12" w:name="OLE_LINK30"/>
      <w:bookmarkStart w:id="13" w:name="OLE_LINK66"/>
      <w:bookmarkStart w:id="14" w:name="OLE_LINK23"/>
      <w:bookmarkStart w:id="15" w:name="OLE_LINK42"/>
      <w:r>
        <w:rPr>
          <w:rFonts w:hint="eastAsia" w:cs="Times New Roman"/>
          <w:sz w:val="20"/>
          <w:szCs w:val="20"/>
          <w:lang w:val="en-US" w:eastAsia="zh-CN"/>
        </w:rPr>
        <w:t xml:space="preserve">The impacts on DL performance caused by SRS IL imbalance have already been identified by the majority companies in either in RAN1[3] and RAN4, where the </w:t>
      </w:r>
      <w:r>
        <w:rPr>
          <w:rFonts w:hint="eastAsia"/>
          <w:i w:val="0"/>
          <w:iCs w:val="0"/>
          <w:sz w:val="20"/>
          <w:lang w:val="en-US"/>
        </w:rPr>
        <w:t xml:space="preserve">non-negligible </w:t>
      </w:r>
      <w:r>
        <w:rPr>
          <w:rFonts w:hint="eastAsia"/>
          <w:i w:val="0"/>
          <w:iCs w:val="0"/>
          <w:sz w:val="20"/>
          <w:lang w:val="en-US" w:eastAsia="zh-CN"/>
        </w:rPr>
        <w:t xml:space="preserve">DL </w:t>
      </w:r>
      <w:r>
        <w:rPr>
          <w:rFonts w:hint="eastAsia"/>
          <w:i w:val="0"/>
          <w:iCs w:val="0"/>
          <w:sz w:val="20"/>
          <w:lang w:val="en-US"/>
        </w:rPr>
        <w:t>performance degradation</w:t>
      </w:r>
      <w:r>
        <w:rPr>
          <w:rFonts w:hint="eastAsia"/>
          <w:i w:val="0"/>
          <w:iCs w:val="0"/>
          <w:sz w:val="20"/>
          <w:lang w:val="en-US" w:eastAsia="zh-CN"/>
        </w:rPr>
        <w:t xml:space="preserve"> </w:t>
      </w:r>
      <w:r>
        <w:rPr>
          <w:sz w:val="20"/>
          <w:lang w:val="en-US"/>
        </w:rPr>
        <w:t>in case SRS IL is not compensated at the UE and/or gNB sides</w:t>
      </w:r>
      <w:r>
        <w:rPr>
          <w:rFonts w:hint="eastAsia"/>
          <w:sz w:val="20"/>
          <w:lang w:val="en-US" w:eastAsia="zh-CN"/>
        </w:rPr>
        <w:t xml:space="preserve">. However, there were no conclusions on how to report the SRS IL imbalance in either RAN1 and RAN4 in Rel-18, even few of companies suspect the needs on reporting the SRS IL imbalance. </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lang w:val="en-US" w:eastAsia="zh-CN"/>
        </w:rPr>
      </w:pPr>
      <w:r>
        <w:rPr>
          <w:rFonts w:hint="eastAsia"/>
          <w:b/>
          <w:bCs/>
          <w:i/>
          <w:iCs/>
          <w:sz w:val="20"/>
          <w:lang w:val="en-US" w:eastAsia="zh-CN"/>
        </w:rPr>
        <w:t xml:space="preserve">Observation 1.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lang w:val="en-US"/>
        </w:rPr>
        <w:t>non-negligible performance degradation</w:t>
      </w:r>
      <w:r>
        <w:rPr>
          <w:rFonts w:hint="eastAsia"/>
          <w:b/>
          <w:bCs/>
          <w:i/>
          <w:iCs/>
          <w:sz w:val="20"/>
          <w:lang w:val="en-US" w:eastAsia="zh-CN"/>
        </w:rPr>
        <w:t xml:space="preserve"> according to the past discussions.</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sz w:val="20"/>
          <w:szCs w:val="20"/>
        </w:rPr>
      </w:pPr>
      <w:r>
        <w:rPr>
          <w:rFonts w:hint="eastAsia"/>
          <w:sz w:val="20"/>
          <w:lang w:val="en-US" w:eastAsia="zh-CN"/>
        </w:rPr>
        <w:t>In our understanding, current NW has no knowledge about the UE SRS IL imbalance, instead t</w:t>
      </w:r>
      <w:r>
        <w:rPr>
          <w:rFonts w:hint="eastAsia" w:ascii="Times New Roman" w:hAnsi="Times New Roman" w:eastAsia="宋体" w:cs="Times New Roman"/>
          <w:sz w:val="20"/>
          <w:szCs w:val="20"/>
        </w:rPr>
        <w:t xml:space="preserve">he </w:t>
      </w:r>
      <w:r>
        <w:rPr>
          <w:rFonts w:hint="eastAsia" w:cs="Times New Roman"/>
          <w:sz w:val="20"/>
          <w:szCs w:val="20"/>
          <w:lang w:eastAsia="zh-CN"/>
        </w:rPr>
        <w:t>N</w:t>
      </w:r>
      <w:r>
        <w:rPr>
          <w:rFonts w:hint="eastAsia" w:cs="Times New Roman"/>
          <w:sz w:val="20"/>
          <w:szCs w:val="20"/>
          <w:lang w:val="en-US" w:eastAsia="zh-CN"/>
        </w:rPr>
        <w:t>W</w:t>
      </w:r>
      <w:r>
        <w:rPr>
          <w:rFonts w:hint="eastAsia" w:ascii="Times New Roman" w:hAnsi="Times New Roman" w:eastAsia="宋体" w:cs="Times New Roman"/>
          <w:sz w:val="20"/>
          <w:szCs w:val="20"/>
        </w:rPr>
        <w:t xml:space="preserve"> can dynamically adjust the power control parameters based on network conditions and UE performance</w:t>
      </w:r>
      <w:r>
        <w:rPr>
          <w:rFonts w:hint="eastAsia" w:cs="Times New Roman"/>
          <w:sz w:val="20"/>
          <w:szCs w:val="20"/>
          <w:lang w:val="en-US" w:eastAsia="zh-CN"/>
        </w:rPr>
        <w:t>, t</w:t>
      </w:r>
      <w:r>
        <w:rPr>
          <w:rFonts w:hint="eastAsia" w:ascii="Times New Roman" w:hAnsi="Times New Roman" w:eastAsia="宋体" w:cs="Times New Roman"/>
          <w:sz w:val="20"/>
          <w:szCs w:val="20"/>
        </w:rPr>
        <w:t>his helps in managing the power imbalance and optimizing the overall system performance.</w:t>
      </w:r>
      <w:r>
        <w:rPr>
          <w:rFonts w:hint="eastAsia" w:cs="Times New Roman"/>
          <w:sz w:val="20"/>
          <w:szCs w:val="20"/>
          <w:lang w:val="en-US" w:eastAsia="zh-CN"/>
        </w:rPr>
        <w:t xml:space="preserve"> </w:t>
      </w:r>
      <w:r>
        <w:rPr>
          <w:rFonts w:hint="eastAsia" w:ascii="Times New Roman" w:hAnsi="Times New Roman" w:eastAsia="宋体" w:cs="Times New Roman"/>
          <w:sz w:val="20"/>
          <w:szCs w:val="20"/>
        </w:rPr>
        <w:t xml:space="preserve">The UE adjusts the transmission power of SRS based on the power control parameters provided by the base station. </w:t>
      </w:r>
    </w:p>
    <w:p>
      <w:pPr>
        <w:keepNext w:val="0"/>
        <w:keepLines w:val="0"/>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Generally</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speaking, t</w:t>
      </w:r>
      <w:r>
        <w:rPr>
          <w:rFonts w:hint="eastAsia" w:ascii="Times New Roman" w:hAnsi="Times New Roman" w:eastAsia="宋体" w:cs="Times New Roman"/>
          <w:sz w:val="20"/>
          <w:szCs w:val="20"/>
        </w:rPr>
        <w:t>he SRS transmission power</w:t>
      </w:r>
      <w:r>
        <w:rPr>
          <w:rFonts w:hint="eastAsia" w:cs="Times New Roman"/>
          <w:sz w:val="20"/>
          <w:szCs w:val="20"/>
          <w:lang w:val="en-US" w:eastAsia="zh-CN"/>
        </w:rPr>
        <w:t xml:space="preserve"> should</w:t>
      </w:r>
      <w:r>
        <w:rPr>
          <w:rFonts w:hint="eastAsia" w:ascii="Times New Roman" w:hAnsi="Times New Roman" w:eastAsia="宋体" w:cs="Times New Roman"/>
          <w:sz w:val="20"/>
          <w:szCs w:val="20"/>
        </w:rPr>
        <w:t xml:space="preserve"> be sufficient to overcome the path loss and channel impairments. </w:t>
      </w:r>
      <w:r>
        <w:rPr>
          <w:rFonts w:hint="eastAsia" w:cs="Times New Roman"/>
          <w:sz w:val="20"/>
          <w:szCs w:val="20"/>
          <w:lang w:val="en-US" w:eastAsia="zh-CN"/>
        </w:rPr>
        <w:t xml:space="preserve">Too weak SRS </w:t>
      </w:r>
      <w:r>
        <w:rPr>
          <w:rFonts w:hint="eastAsia" w:ascii="Times New Roman" w:hAnsi="Times New Roman" w:eastAsia="宋体" w:cs="Times New Roman"/>
          <w:sz w:val="20"/>
          <w:szCs w:val="20"/>
        </w:rPr>
        <w:t>transmission power</w:t>
      </w:r>
      <w:r>
        <w:rPr>
          <w:rFonts w:hint="eastAsia" w:cs="Times New Roman"/>
          <w:sz w:val="20"/>
          <w:szCs w:val="20"/>
          <w:lang w:val="en-US" w:eastAsia="zh-CN"/>
        </w:rPr>
        <w:t xml:space="preserve"> would lead to poor </w:t>
      </w:r>
      <w:r>
        <w:rPr>
          <w:rFonts w:hint="eastAsia" w:ascii="Times New Roman" w:hAnsi="Times New Roman" w:eastAsia="宋体" w:cs="Times New Roman"/>
          <w:sz w:val="20"/>
          <w:szCs w:val="20"/>
        </w:rPr>
        <w:t>measurement quality</w:t>
      </w:r>
      <w:r>
        <w:rPr>
          <w:rFonts w:hint="eastAsia" w:cs="Times New Roman"/>
          <w:sz w:val="20"/>
          <w:szCs w:val="20"/>
          <w:lang w:val="en-US" w:eastAsia="zh-CN"/>
        </w:rPr>
        <w:t xml:space="preserve">, but </w:t>
      </w:r>
      <w:r>
        <w:rPr>
          <w:rFonts w:hint="eastAsia" w:ascii="Times New Roman" w:hAnsi="Times New Roman" w:eastAsia="宋体" w:cs="Times New Roman"/>
          <w:sz w:val="20"/>
          <w:szCs w:val="20"/>
        </w:rPr>
        <w:t>excessive power can lead to interference with other UEs or even affect network performance</w:t>
      </w:r>
      <w:r>
        <w:rPr>
          <w:rFonts w:hint="eastAsia" w:cs="Times New Roman"/>
          <w:sz w:val="20"/>
          <w:szCs w:val="20"/>
          <w:lang w:val="en-US" w:eastAsia="zh-CN"/>
        </w:rPr>
        <w:t>. Hence, in our understanding, t</w:t>
      </w:r>
      <w:r>
        <w:rPr>
          <w:rFonts w:hint="eastAsia" w:ascii="Times New Roman" w:hAnsi="Times New Roman" w:eastAsia="宋体" w:cs="Times New Roman"/>
          <w:sz w:val="20"/>
          <w:szCs w:val="20"/>
        </w:rPr>
        <w:t xml:space="preserve">he UE </w:t>
      </w:r>
      <w:r>
        <w:rPr>
          <w:rFonts w:hint="eastAsia"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rPr>
        <w:t>adjusts its power dynamically to manage imbalance and maintain proper signal balance.</w:t>
      </w:r>
      <w:r>
        <w:rPr>
          <w:rFonts w:hint="eastAsia" w:cs="Times New Roman"/>
          <w:sz w:val="20"/>
          <w:szCs w:val="20"/>
          <w:lang w:val="en-US" w:eastAsia="zh-CN"/>
        </w:rPr>
        <w:t xml:space="preserve"> Meanwhile, i</w:t>
      </w:r>
      <w:r>
        <w:rPr>
          <w:rFonts w:hint="eastAsia" w:ascii="Times New Roman" w:hAnsi="Times New Roman" w:eastAsia="宋体" w:cs="Times New Roman"/>
          <w:sz w:val="20"/>
          <w:szCs w:val="20"/>
        </w:rPr>
        <w:t>f the SRS transmission power</w:t>
      </w:r>
      <w:r>
        <w:rPr>
          <w:rFonts w:hint="eastAsia" w:cs="Times New Roman"/>
          <w:sz w:val="20"/>
          <w:szCs w:val="20"/>
          <w:lang w:val="en-US" w:eastAsia="zh-CN"/>
        </w:rPr>
        <w:t xml:space="preserve"> </w:t>
      </w:r>
      <w:r>
        <w:rPr>
          <w:rFonts w:hint="eastAsia" w:ascii="Times New Roman" w:hAnsi="Times New Roman" w:eastAsia="宋体" w:cs="Times New Roman"/>
          <w:sz w:val="20"/>
          <w:szCs w:val="20"/>
        </w:rPr>
        <w:t>has an imbalance (</w:t>
      </w:r>
      <w:r>
        <w:rPr>
          <w:rFonts w:hint="eastAsia" w:cs="Times New Roman"/>
          <w:sz w:val="20"/>
          <w:szCs w:val="20"/>
          <w:lang w:eastAsia="zh-CN"/>
        </w:rPr>
        <w:t>u</w:t>
      </w:r>
      <w:r>
        <w:rPr>
          <w:rFonts w:hint="eastAsia" w:cs="Times New Roman"/>
          <w:sz w:val="20"/>
          <w:szCs w:val="20"/>
          <w:lang w:val="en-US" w:eastAsia="zh-CN"/>
        </w:rPr>
        <w:t>p to &gt;10dB for PC2 UE defined in RAN4 spec</w:t>
      </w:r>
      <w:r>
        <w:rPr>
          <w:rFonts w:hint="eastAsia" w:ascii="Times New Roman" w:hAnsi="Times New Roman" w:eastAsia="宋体" w:cs="Times New Roman"/>
          <w:sz w:val="20"/>
          <w:szCs w:val="20"/>
        </w:rPr>
        <w:t>), the channel estimate will be biased. This leads the gNodeB to overestimate or underestimate the gain on specific antennas or spatial paths in the DL channel, causing errors in channel state information (CSI)</w:t>
      </w:r>
      <w:r>
        <w:rPr>
          <w:rFonts w:hint="eastAsia" w:cs="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rPr>
          <w:rFonts w:hint="default" w:cs="Times New Roman"/>
          <w:sz w:val="20"/>
          <w:szCs w:val="20"/>
          <w:lang w:val="en-US" w:eastAsia="zh-CN"/>
        </w:rPr>
      </w:pPr>
      <w:r>
        <w:rPr>
          <w:rFonts w:hint="default" w:ascii="Times New Roman" w:hAnsi="Times New Roman" w:cs="Times New Roman"/>
          <w:sz w:val="20"/>
          <w:szCs w:val="20"/>
          <w:lang w:val="en-US" w:eastAsia="zh-CN"/>
        </w:rPr>
        <w:t xml:space="preserve">1n current RAN1 TS38.213 spec, the SRS </w:t>
      </w:r>
      <w:r>
        <w:rPr>
          <w:rFonts w:ascii="Times New Roman" w:hAnsi="Times New Roman" w:cs="Times New Roman"/>
          <w:sz w:val="20"/>
        </w:rPr>
        <w:t xml:space="preserve">transmission power </w:t>
      </w:r>
      <w:r>
        <w:rPr>
          <w:rFonts w:hint="default" w:ascii="Times New Roman" w:hAnsi="Times New Roman" w:cs="Times New Roman"/>
          <w:sz w:val="20"/>
          <w:lang w:val="en-US" w:eastAsia="zh-CN"/>
        </w:rPr>
        <w:t xml:space="preserve">are depends on the </w:t>
      </w:r>
      <w:r>
        <w:rPr>
          <w:rFonts w:ascii="Times New Roman" w:hAnsi="Times New Roman" w:cs="Times New Roman"/>
          <w:sz w:val="20"/>
          <w:lang w:eastAsia="zh-CN"/>
        </w:rPr>
        <w:t>configured maximum output power P</w:t>
      </w:r>
      <w:r>
        <w:rPr>
          <w:rFonts w:ascii="Times New Roman" w:hAnsi="Times New Roman" w:cs="Times New Roman"/>
          <w:sz w:val="20"/>
          <w:vertAlign w:val="subscript"/>
          <w:lang w:eastAsia="zh-CN"/>
        </w:rPr>
        <w:t>CMAX,f,c</w:t>
      </w:r>
      <w:r>
        <w:rPr>
          <w:rFonts w:ascii="Times New Roman" w:hAnsi="Times New Roman" w:cs="Times New Roman"/>
          <w:sz w:val="20"/>
          <w:lang w:eastAsia="zh-CN"/>
        </w:rPr>
        <w:t xml:space="preserve"> </w:t>
      </w:r>
      <w:r>
        <w:rPr>
          <w:rFonts w:ascii="Times New Roman" w:hAnsi="Times New Roman" w:cs="Times New Roman"/>
          <w:sz w:val="20"/>
        </w:rPr>
        <w:t>limit</w:t>
      </w:r>
      <w:r>
        <w:rPr>
          <w:rFonts w:hint="default" w:ascii="Times New Roman" w:hAnsi="Times New Roman" w:cs="Times New Roman"/>
          <w:sz w:val="20"/>
          <w:lang w:val="en-US" w:eastAsia="zh-CN"/>
        </w:rPr>
        <w:t xml:space="preserve">, and some </w:t>
      </w:r>
      <w:r>
        <w:rPr>
          <w:rFonts w:hint="eastAsia" w:cs="Times New Roman"/>
          <w:sz w:val="20"/>
          <w:lang w:val="en-US" w:eastAsia="zh-CN"/>
        </w:rPr>
        <w:t>parameters</w:t>
      </w:r>
      <w:r>
        <w:rPr>
          <w:rFonts w:hint="default" w:ascii="Times New Roman" w:hAnsi="Times New Roman" w:cs="Times New Roman"/>
          <w:sz w:val="20"/>
          <w:lang w:val="en-US" w:eastAsia="zh-CN"/>
        </w:rPr>
        <w:t xml:space="preserve"> such as </w:t>
      </w:r>
      <w:r>
        <w:rPr>
          <w:rFonts w:ascii="Times New Roman" w:hAnsi="Times New Roman" w:eastAsia="MS Mincho" w:cs="Times New Roman"/>
          <w:i/>
          <w:sz w:val="20"/>
          <w:lang w:val="en-US"/>
        </w:rPr>
        <w:t>p0</w:t>
      </w:r>
      <w:r>
        <w:rPr>
          <w:rFonts w:ascii="Times New Roman" w:hAnsi="Times New Roman" w:eastAsia="MS Mincho" w:cs="Times New Roman"/>
          <w:sz w:val="20"/>
          <w:lang w:val="en-US"/>
        </w:rPr>
        <w:t xml:space="preserve"> </w:t>
      </w:r>
      <w:r>
        <w:rPr>
          <w:rFonts w:hint="default" w:ascii="Times New Roman" w:hAnsi="Times New Roman" w:eastAsia="宋体" w:cs="Times New Roman"/>
          <w:sz w:val="20"/>
          <w:lang w:val="en-US" w:eastAsia="zh-CN"/>
        </w:rPr>
        <w:t>, α, IL and etc.</w:t>
      </w:r>
      <w:r>
        <w:rPr>
          <w:rFonts w:hint="eastAsia" w:ascii="Times New Roman" w:hAnsi="Times New Roman" w:eastAsia="宋体" w:cs="Times New Roman"/>
          <w:sz w:val="20"/>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position w:val="-32"/>
        </w:rPr>
        <w:drawing>
          <wp:inline distT="0" distB="0" distL="0" distR="0">
            <wp:extent cx="5295900" cy="459740"/>
            <wp:effectExtent l="0" t="0" r="0" b="1270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55249"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95900" cy="4597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ascii="Times New Roman" w:hAnsi="Times New Roman" w:eastAsia="宋体" w:cs="Times New Roman"/>
          <w:sz w:val="20"/>
          <w:lang w:val="en-US" w:eastAsia="zh-CN"/>
        </w:rPr>
        <w:t>For the term of P</w:t>
      </w:r>
      <w:r>
        <w:rPr>
          <w:rFonts w:hint="eastAsia" w:ascii="Times New Roman" w:hAnsi="Times New Roman" w:eastAsia="宋体" w:cs="Times New Roman"/>
          <w:sz w:val="20"/>
          <w:vertAlign w:val="subscript"/>
          <w:lang w:val="en-US" w:eastAsia="zh-CN"/>
        </w:rPr>
        <w:t>cmax,f,c</w:t>
      </w:r>
      <w:r>
        <w:rPr>
          <w:rFonts w:hint="eastAsia" w:ascii="Times New Roman" w:hAnsi="Times New Roman" w:eastAsia="宋体" w:cs="Times New Roman"/>
          <w:sz w:val="20"/>
          <w:lang w:val="en-US" w:eastAsia="zh-CN"/>
        </w:rPr>
        <w:t xml:space="preserve">, it is defined in the TS38.101-1, </w:t>
      </w:r>
      <w:r>
        <w:rPr>
          <w:rFonts w:hint="eastAsia" w:cs="Times New Roman"/>
          <w:sz w:val="20"/>
          <w:lang w:val="en-US" w:eastAsia="zh-CN"/>
        </w:rPr>
        <w:t xml:space="preserve">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 xml:space="preserve">CMAX_L,f,c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 xml:space="preserve">CMAX,f,c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CMAX_H,f,c</w:t>
      </w:r>
      <w:r>
        <w:rPr>
          <w:rFonts w:hint="eastAsia" w:cs="Times New Roman"/>
          <w:sz w:val="20"/>
          <w:lang w:val="en-US" w:eastAsia="zh-CN"/>
        </w:rPr>
        <w:t xml:space="preserve">; </w:t>
      </w:r>
      <w:r>
        <w:rPr>
          <w:rFonts w:hint="eastAsia" w:ascii="Times New Roman" w:hAnsi="Times New Roman" w:eastAsia="宋体" w:cs="Times New Roman"/>
          <w:sz w:val="20"/>
          <w:lang w:val="en-US" w:eastAsia="zh-CN"/>
        </w:rPr>
        <w:t>where</w:t>
      </w:r>
      <w:r>
        <w:rPr>
          <w:rFonts w:hint="eastAsia" w:cs="Times New Roman"/>
          <w:sz w:val="20"/>
          <w:lang w:val="en-US" w:eastAsia="zh-CN"/>
        </w:rPr>
        <w:t>in</w:t>
      </w:r>
      <w:r>
        <w:rPr>
          <w:rFonts w:hint="eastAsia" w:ascii="Times New Roman" w:hAnsi="Times New Roman" w:eastAsia="宋体" w:cs="Times New Roman"/>
          <w:sz w:val="20"/>
          <w:lang w:val="en-US" w:eastAsia="zh-CN"/>
        </w:rPr>
        <w:t xml:space="preserve"> </w:t>
      </w:r>
      <w:r>
        <w:rPr>
          <w:rFonts w:hint="eastAsia" w:cs="Times New Roman"/>
          <w:sz w:val="20"/>
          <w:lang w:val="en-US" w:eastAsia="zh-CN"/>
        </w:rPr>
        <w:t xml:space="preserve">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bCs/>
          <w:i/>
          <w:iCs/>
          <w:color w:val="000000"/>
          <w:kern w:val="0"/>
          <w:sz w:val="20"/>
          <w:szCs w:val="20"/>
          <w:u w:val="none"/>
          <w:vertAlign w:val="subscript"/>
          <w:lang w:val="en-US" w:eastAsia="zh-CN" w:bidi="ar"/>
        </w:rPr>
        <w:t xml:space="preserve"> </w:t>
      </w:r>
      <w:r>
        <w:rPr>
          <w:rFonts w:hint="eastAsia" w:cs="Times New Roman"/>
          <w:sz w:val="20"/>
          <w:lang w:val="en-US" w:eastAsia="zh-CN"/>
        </w:rPr>
        <w:t xml:space="preserve">parameter is only incorporated in the lower boundary, 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CMAX_L,f,c</w:t>
      </w:r>
      <w:r>
        <w:rPr>
          <w:rFonts w:hint="eastAsia" w:cs="Times New Roman"/>
          <w:sz w:val="20"/>
          <w:lang w:val="en-US" w:eastAsia="zh-CN"/>
        </w:rPr>
        <w:t xml:space="preserve">. It should be noted that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is not exactly </w:t>
      </w:r>
      <w:r>
        <w:rPr>
          <w:rFonts w:hint="eastAsia" w:cs="Times New Roman"/>
          <w:sz w:val="20"/>
          <w:lang w:val="en-US" w:eastAsia="zh-CN"/>
        </w:rPr>
        <w:t xml:space="preserve">the </w:t>
      </w:r>
      <w:r>
        <w:rPr>
          <w:sz w:val="20"/>
        </w:rPr>
        <w:t>SRS insertion loss</w:t>
      </w:r>
      <w:r>
        <w:rPr>
          <w:rFonts w:hint="eastAsia"/>
          <w:sz w:val="20"/>
          <w:lang w:val="en-US" w:eastAsia="zh-CN"/>
        </w:rPr>
        <w:t xml:space="preserve">, it is </w:t>
      </w:r>
      <w:r>
        <w:rPr>
          <w:rFonts w:hint="eastAsia" w:cs="Times New Roman"/>
          <w:sz w:val="20"/>
          <w:lang w:val="en-US" w:eastAsia="zh-CN"/>
        </w:rPr>
        <w:t xml:space="preserve"> actually the delta </w:t>
      </w:r>
      <w:r>
        <w:rPr>
          <w:sz w:val="20"/>
        </w:rPr>
        <w:t>SRS insertion loss</w:t>
      </w:r>
      <w:r>
        <w:rPr>
          <w:rFonts w:hint="eastAsia"/>
          <w:sz w:val="20"/>
          <w:lang w:val="en-US" w:eastAsia="zh-CN"/>
        </w:rPr>
        <w:t xml:space="preserve"> </w:t>
      </w:r>
      <w:r>
        <w:rPr>
          <w:rFonts w:hint="eastAsia" w:cs="Times New Roman"/>
          <w:sz w:val="20"/>
          <w:lang w:val="en-US" w:eastAsia="zh-CN"/>
        </w:rPr>
        <w:t xml:space="preserve">values under the worse case where </w:t>
      </w:r>
      <w:r>
        <w:rPr>
          <w:rFonts w:hint="eastAsia"/>
          <w:b w:val="0"/>
          <w:bCs w:val="0"/>
          <w:i w:val="0"/>
          <w:iCs w:val="0"/>
          <w:color w:val="auto"/>
          <w:sz w:val="20"/>
          <w:szCs w:val="20"/>
          <w:lang w:val="en-US" w:eastAsia="zh-CN"/>
        </w:rPr>
        <w:t xml:space="preserve">SRS powers are transmitted from the main antenna path and the antenna path other than main antenna who usually has longest RF path and includes more switchers. With more Rx branches introduced,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b w:val="0"/>
          <w:bCs w:val="0"/>
          <w:i w:val="0"/>
          <w:iCs w:val="0"/>
          <w:color w:val="auto"/>
          <w:sz w:val="20"/>
          <w:szCs w:val="20"/>
          <w:lang w:val="en-US" w:eastAsia="zh-CN"/>
        </w:rPr>
        <w:t>requirements become larger and more serious.</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previous discussion on how to derive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for 4Rx/6Rx/8Rx, it can be found different companies assumed different example RF antenna switcher architectures and different switcher loss and RF cable loss, also different implementation margin for the final value. We believe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could be better than the requirements defined in the RAN4 specification.</w:t>
      </w:r>
      <w:r>
        <w:rPr>
          <w:rFonts w:hint="eastAsia"/>
          <w:b w:val="0"/>
          <w:bCs w:val="0"/>
          <w:i w:val="0"/>
          <w:iCs w:val="0"/>
          <w:color w:val="auto"/>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In addition, we believe UE has ability to do some power compensation to overcome the larger IL imbalance among all the Tx/Rx SRS antenna port, especially UE has more power to be transmitted or in the</w:t>
      </w:r>
      <w:r>
        <w:rPr>
          <w:sz w:val="20"/>
        </w:rPr>
        <w:t xml:space="preserve"> scenario </w:t>
      </w:r>
      <w:r>
        <w:rPr>
          <w:rFonts w:hint="eastAsia"/>
          <w:sz w:val="20"/>
          <w:lang w:val="en-US" w:eastAsia="zh-CN"/>
        </w:rPr>
        <w:t xml:space="preserve">where </w:t>
      </w:r>
      <w:r>
        <w:rPr>
          <w:sz w:val="20"/>
        </w:rPr>
        <w:t>the SRS transmission power (P</w:t>
      </w:r>
      <w:r>
        <w:rPr>
          <w:sz w:val="20"/>
          <w:vertAlign w:val="subscript"/>
        </w:rPr>
        <w:t>SRS</w:t>
      </w:r>
      <w:r>
        <w:rPr>
          <w:sz w:val="20"/>
        </w:rPr>
        <w:t xml:space="preserve">) is below </w:t>
      </w:r>
      <w:r>
        <w:rPr>
          <w:sz w:val="20"/>
          <w:lang w:eastAsia="zh-CN"/>
        </w:rPr>
        <w:t>P</w:t>
      </w:r>
      <w:r>
        <w:rPr>
          <w:sz w:val="20"/>
          <w:vertAlign w:val="subscript"/>
          <w:lang w:eastAsia="zh-CN"/>
        </w:rPr>
        <w:t>CMAX,</w:t>
      </w:r>
      <w:r>
        <w:rPr>
          <w:b w:val="0"/>
          <w:bCs w:val="0"/>
          <w:sz w:val="20"/>
          <w:vertAlign w:val="subscript"/>
          <w:lang w:eastAsia="zh-CN"/>
        </w:rPr>
        <w:t>L</w:t>
      </w:r>
      <w:r>
        <w:rPr>
          <w:rFonts w:hint="eastAsia"/>
          <w:b w:val="0"/>
          <w:bCs w:val="0"/>
          <w:sz w:val="20"/>
          <w:vertAlign w:val="baseline"/>
          <w:lang w:val="en-US" w:eastAsia="zh-CN"/>
        </w:rPr>
        <w:t xml:space="preserve">, i.e. </w:t>
      </w:r>
      <w:r>
        <w:rPr>
          <w:b w:val="0"/>
          <w:bCs w:val="0"/>
          <w:iCs/>
          <w:sz w:val="20"/>
        </w:rPr>
        <w:t>P</w:t>
      </w:r>
      <w:r>
        <w:rPr>
          <w:b w:val="0"/>
          <w:bCs w:val="0"/>
          <w:iCs/>
          <w:sz w:val="20"/>
          <w:vertAlign w:val="subscript"/>
        </w:rPr>
        <w:t xml:space="preserve">SRS,PC </w:t>
      </w:r>
      <w:r>
        <w:rPr>
          <w:b w:val="0"/>
          <w:bCs w:val="0"/>
          <w:iCs/>
          <w:sz w:val="20"/>
        </w:rPr>
        <w:t>≤ P</w:t>
      </w:r>
      <w:r>
        <w:rPr>
          <w:b w:val="0"/>
          <w:bCs w:val="0"/>
          <w:iCs/>
          <w:sz w:val="20"/>
          <w:vertAlign w:val="subscript"/>
        </w:rPr>
        <w:t xml:space="preserve">CMAX,L </w:t>
      </w:r>
      <w:r>
        <w:rPr>
          <w:rFonts w:hint="eastAsia"/>
          <w:b w:val="0"/>
          <w:bCs w:val="0"/>
          <w:iCs/>
          <w:sz w:val="20"/>
          <w:vertAlign w:val="baseline"/>
          <w:lang w:val="en-US" w:eastAsia="zh-CN"/>
        </w:rPr>
        <w:t>as mentioned in [5]</w:t>
      </w:r>
      <w:r>
        <w:rPr>
          <w:b w:val="0"/>
          <w:bCs w:val="0"/>
          <w:sz w:val="20"/>
          <w:vertAlign w:val="baseline"/>
        </w:rPr>
        <w:t>.</w:t>
      </w:r>
      <w:r>
        <w:rPr>
          <w:rFonts w:hint="eastAsia"/>
          <w:b w:val="0"/>
          <w:bCs w:val="0"/>
          <w:sz w:val="20"/>
          <w:vertAlign w:val="baseline"/>
          <w:lang w:val="en-US" w:eastAsia="zh-CN"/>
        </w:rPr>
        <w:t xml:space="preserve"> The UL self-</w:t>
      </w:r>
      <w:r>
        <w:rPr>
          <w:rFonts w:hint="eastAsia"/>
          <w:b w:val="0"/>
          <w:bCs w:val="0"/>
          <w:i w:val="0"/>
          <w:iCs w:val="0"/>
          <w:color w:val="auto"/>
          <w:sz w:val="20"/>
          <w:szCs w:val="20"/>
          <w:lang w:val="en-US" w:eastAsia="zh-CN"/>
        </w:rPr>
        <w:t xml:space="preserve">compensation  depends on the UE implementation and we think it is optional, rather than mandatory.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t>
      </w:r>
    </w:p>
    <w:p>
      <w:pPr>
        <w:keepNext w:val="0"/>
        <w:keepLines w:val="0"/>
        <w:pageBreakBefore w:val="0"/>
        <w:widowControl/>
        <w:kinsoku/>
        <w:wordWrap/>
        <w:overflowPunct/>
        <w:topLinePunct w:val="0"/>
        <w:autoSpaceDE/>
        <w:autoSpaceDN/>
        <w:bidi w:val="0"/>
        <w:adjustRightInd/>
        <w:snapToGrid/>
        <w:jc w:val="both"/>
        <w:textAlignment w:val="auto"/>
        <w:rPr>
          <w:rFonts w:hint="default"/>
          <w:sz w:val="20"/>
          <w:vertAlign w:val="baseline"/>
          <w:lang w:val="en-US" w:eastAsia="zh-CN"/>
        </w:rPr>
      </w:pPr>
      <w:r>
        <w:rPr>
          <w:rFonts w:hint="eastAsia"/>
          <w:b w:val="0"/>
          <w:bCs w:val="0"/>
          <w:i w:val="0"/>
          <w:iCs w:val="0"/>
          <w:color w:val="auto"/>
          <w:sz w:val="20"/>
          <w:szCs w:val="20"/>
          <w:lang w:val="en-US" w:eastAsia="zh-CN"/>
        </w:rPr>
        <w:t xml:space="preserve">For example, when the SRS transmission power is below the UE configured maximum output power (i.e. </w:t>
      </w:r>
      <w:r>
        <w:rPr>
          <w:sz w:val="20"/>
          <w:lang w:eastAsia="zh-CN"/>
        </w:rPr>
        <w:t>P</w:t>
      </w:r>
      <w:r>
        <w:rPr>
          <w:sz w:val="20"/>
          <w:vertAlign w:val="subscript"/>
          <w:lang w:eastAsia="zh-CN"/>
        </w:rPr>
        <w:t>CMAX,L</w:t>
      </w:r>
      <w:r>
        <w:rPr>
          <w:rFonts w:hint="eastAsia"/>
          <w:b w:val="0"/>
          <w:bCs w:val="0"/>
          <w:i w:val="0"/>
          <w:iCs w:val="0"/>
          <w:color w:val="auto"/>
          <w:sz w:val="20"/>
          <w:szCs w:val="20"/>
          <w:lang w:val="en-US" w:eastAsia="zh-CN"/>
        </w:rPr>
        <w:t xml:space="preserve">), then UE can do the power compensation to compensate the IL and </w:t>
      </w:r>
      <w:r>
        <w:rPr>
          <w:rFonts w:hint="eastAsia"/>
          <w:sz w:val="20"/>
          <w:vertAlign w:val="baseline"/>
          <w:lang w:val="en-US" w:eastAsia="zh-CN"/>
        </w:rPr>
        <w:t>also there exist +2dB power tolerance for the Pcmax. Ev</w:t>
      </w:r>
      <w:r>
        <w:rPr>
          <w:rFonts w:hint="eastAsia"/>
          <w:b w:val="0"/>
          <w:bCs w:val="0"/>
          <w:i w:val="0"/>
          <w:iCs w:val="0"/>
          <w:color w:val="auto"/>
          <w:sz w:val="20"/>
          <w:szCs w:val="20"/>
          <w:lang w:val="en-US" w:eastAsia="zh-CN"/>
        </w:rPr>
        <w:t xml:space="preserve">en UE can re-calculate the </w:t>
      </w:r>
      <w:r>
        <w:rPr>
          <w:sz w:val="20"/>
          <w:lang w:eastAsia="zh-CN"/>
        </w:rPr>
        <w:t>P</w:t>
      </w:r>
      <w:r>
        <w:rPr>
          <w:sz w:val="20"/>
          <w:vertAlign w:val="subscript"/>
          <w:lang w:eastAsia="zh-CN"/>
        </w:rPr>
        <w:t>CMAX,L</w:t>
      </w:r>
      <w:r>
        <w:rPr>
          <w:rFonts w:hint="eastAsia"/>
          <w:sz w:val="20"/>
          <w:vertAlign w:val="subscript"/>
          <w:lang w:val="en-US" w:eastAsia="zh-CN"/>
        </w:rPr>
        <w:t xml:space="preserve"> </w:t>
      </w:r>
      <w:r>
        <w:rPr>
          <w:rFonts w:hint="eastAsia"/>
          <w:sz w:val="20"/>
          <w:vertAlign w:val="baseline"/>
          <w:lang w:val="en-US" w:eastAsia="zh-CN"/>
        </w:rPr>
        <w:t xml:space="preserve">with the new </w:t>
      </w:r>
      <w:r>
        <w:rPr>
          <w:rFonts w:hint="default" w:ascii="Times New Roman" w:hAnsi="Times New Roman" w:eastAsia="宋体" w:cs="Times New Roman"/>
          <w:sz w:val="20"/>
          <w:vertAlign w:val="baseline"/>
          <w:lang w:val="en-US" w:eastAsia="zh-CN"/>
        </w:rPr>
        <w:t>Δ</w:t>
      </w:r>
      <w:r>
        <w:rPr>
          <w:rFonts w:hint="default" w:ascii="Times New Roman" w:hAnsi="Times New Roman" w:cs="Times New Roman"/>
          <w:sz w:val="20"/>
          <w:vertAlign w:val="baseline"/>
          <w:lang w:val="en-US" w:eastAsia="zh-CN"/>
        </w:rPr>
        <w:t>IL</w:t>
      </w:r>
      <w:r>
        <w:rPr>
          <w:rFonts w:hint="eastAsia"/>
          <w:sz w:val="20"/>
          <w:vertAlign w:val="baseline"/>
          <w:lang w:val="en-US" w:eastAsia="zh-CN"/>
        </w:rPr>
        <w:t xml:space="preserve"> to replace</w:t>
      </w:r>
      <w:r>
        <w:rPr>
          <w:rFonts w:hint="eastAsia" w:cs="Times New Roman"/>
          <w:sz w:val="20"/>
          <w:lang w:val="en-US" w:eastAsia="zh-CN"/>
        </w:rPr>
        <w:t xml:space="preser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to achieve higher boundary of </w:t>
      </w:r>
      <w:r>
        <w:rPr>
          <w:sz w:val="20"/>
          <w:lang w:eastAsia="zh-CN"/>
        </w:rPr>
        <w:t>P</w:t>
      </w:r>
      <w:r>
        <w:rPr>
          <w:sz w:val="20"/>
          <w:vertAlign w:val="subscript"/>
          <w:lang w:eastAsia="zh-CN"/>
        </w:rPr>
        <w:t>CMAX,L</w:t>
      </w:r>
      <w:r>
        <w:rPr>
          <w:rFonts w:hint="eastAsia"/>
          <w:sz w:val="20"/>
          <w:vertAlign w:val="baseline"/>
          <w:lang w:val="en-US" w:eastAsia="zh-CN"/>
        </w:rPr>
        <w:t xml:space="preserve">, as similar proposal 3 in [5]: </w:t>
      </w:r>
    </w:p>
    <w:p>
      <w:pPr>
        <w:pStyle w:val="51"/>
        <w:keepNext w:val="0"/>
        <w:keepLines w:val="0"/>
        <w:pageBreakBefore w:val="0"/>
        <w:kinsoku/>
        <w:wordWrap/>
        <w:topLinePunct w:val="0"/>
        <w:bidi w:val="0"/>
        <w:ind w:left="1416"/>
        <w:jc w:val="center"/>
        <w:rPr>
          <w:b w:val="0"/>
          <w:bCs w:val="0"/>
          <w:sz w:val="20"/>
          <w:lang w:eastAsia="zh-CN"/>
        </w:rPr>
      </w:pPr>
      <w:r>
        <w:rPr>
          <w:b w:val="0"/>
          <w:bCs w:val="0"/>
          <w:sz w:val="20"/>
          <w:lang w:eastAsia="zh-CN"/>
        </w:rPr>
        <w:t>P</w:t>
      </w:r>
      <w:r>
        <w:rPr>
          <w:b w:val="0"/>
          <w:bCs w:val="0"/>
          <w:sz w:val="20"/>
          <w:vertAlign w:val="subscript"/>
          <w:lang w:eastAsia="zh-CN"/>
        </w:rPr>
        <w:t>CMAX_L,f,c</w:t>
      </w:r>
      <w:r>
        <w:rPr>
          <w:b w:val="0"/>
          <w:bCs w:val="0"/>
          <w:sz w:val="20"/>
          <w:lang w:eastAsia="zh-CN"/>
        </w:rPr>
        <w:t xml:space="preserve"> = MIN {P</w:t>
      </w:r>
      <w:r>
        <w:rPr>
          <w:b w:val="0"/>
          <w:bCs w:val="0"/>
          <w:sz w:val="20"/>
          <w:vertAlign w:val="subscript"/>
          <w:lang w:eastAsia="zh-CN"/>
        </w:rPr>
        <w:t>EMAX,c</w:t>
      </w:r>
      <w:r>
        <w:rPr>
          <w:b w:val="0"/>
          <w:bCs w:val="0"/>
          <w:sz w:val="20"/>
          <w:lang w:eastAsia="zh-CN"/>
        </w:rPr>
        <w:t>– ∆T</w:t>
      </w:r>
      <w:r>
        <w:rPr>
          <w:b w:val="0"/>
          <w:bCs w:val="0"/>
          <w:sz w:val="20"/>
          <w:vertAlign w:val="subscript"/>
          <w:lang w:eastAsia="zh-CN"/>
        </w:rPr>
        <w:t>C,c</w:t>
      </w:r>
      <w:r>
        <w:rPr>
          <w:b w:val="0"/>
          <w:bCs w:val="0"/>
          <w:sz w:val="20"/>
          <w:lang w:eastAsia="zh-CN"/>
        </w:rPr>
        <w:t>,  (P</w:t>
      </w:r>
      <w:r>
        <w:rPr>
          <w:b w:val="0"/>
          <w:bCs w:val="0"/>
          <w:sz w:val="20"/>
          <w:vertAlign w:val="subscript"/>
          <w:lang w:eastAsia="zh-CN"/>
        </w:rPr>
        <w:t>PowerClass</w:t>
      </w:r>
      <w:r>
        <w:rPr>
          <w:b w:val="0"/>
          <w:bCs w:val="0"/>
          <w:sz w:val="20"/>
          <w:lang w:eastAsia="zh-CN"/>
        </w:rPr>
        <w:t xml:space="preserve"> – ΔP</w:t>
      </w:r>
      <w:r>
        <w:rPr>
          <w:b w:val="0"/>
          <w:bCs w:val="0"/>
          <w:sz w:val="20"/>
          <w:vertAlign w:val="subscript"/>
          <w:lang w:eastAsia="zh-CN"/>
        </w:rPr>
        <w:t>PowerClass</w:t>
      </w:r>
      <w:r>
        <w:rPr>
          <w:b w:val="0"/>
          <w:bCs w:val="0"/>
          <w:sz w:val="20"/>
        </w:rPr>
        <w:t xml:space="preserve"> + ΔP</w:t>
      </w:r>
      <w:r>
        <w:rPr>
          <w:b w:val="0"/>
          <w:bCs w:val="0"/>
          <w:sz w:val="20"/>
          <w:vertAlign w:val="subscript"/>
        </w:rPr>
        <w:t>PowerBoost</w:t>
      </w:r>
      <w:r>
        <w:rPr>
          <w:b w:val="0"/>
          <w:bCs w:val="0"/>
          <w:sz w:val="20"/>
          <w:lang w:eastAsia="zh-CN"/>
        </w:rPr>
        <w:t>) – MAX(MAX(MPR</w:t>
      </w:r>
      <w:r>
        <w:rPr>
          <w:b w:val="0"/>
          <w:bCs w:val="0"/>
          <w:sz w:val="20"/>
          <w:vertAlign w:val="subscript"/>
          <w:lang w:eastAsia="zh-CN"/>
        </w:rPr>
        <w:t>c</w:t>
      </w:r>
      <w:r>
        <w:rPr>
          <w:b w:val="0"/>
          <w:bCs w:val="0"/>
          <w:sz w:val="20"/>
          <w:lang w:eastAsia="zh-CN"/>
        </w:rPr>
        <w:t>+∆MPR</w:t>
      </w:r>
      <w:r>
        <w:rPr>
          <w:b w:val="0"/>
          <w:bCs w:val="0"/>
          <w:sz w:val="20"/>
          <w:vertAlign w:val="subscript"/>
          <w:lang w:eastAsia="zh-CN"/>
        </w:rPr>
        <w:t>c</w:t>
      </w:r>
      <w:r>
        <w:rPr>
          <w:b w:val="0"/>
          <w:bCs w:val="0"/>
          <w:sz w:val="20"/>
          <w:lang w:eastAsia="zh-CN"/>
        </w:rPr>
        <w:t>, A-MPR</w:t>
      </w:r>
      <w:r>
        <w:rPr>
          <w:b w:val="0"/>
          <w:bCs w:val="0"/>
          <w:sz w:val="20"/>
          <w:vertAlign w:val="subscript"/>
          <w:lang w:eastAsia="zh-CN"/>
        </w:rPr>
        <w:t>c</w:t>
      </w:r>
      <w:r>
        <w:rPr>
          <w:b w:val="0"/>
          <w:bCs w:val="0"/>
          <w:sz w:val="20"/>
          <w:lang w:eastAsia="zh-CN"/>
        </w:rPr>
        <w:t>)+ ΔT</w:t>
      </w:r>
      <w:r>
        <w:rPr>
          <w:b w:val="0"/>
          <w:bCs w:val="0"/>
          <w:sz w:val="20"/>
          <w:vertAlign w:val="subscript"/>
          <w:lang w:eastAsia="zh-CN"/>
        </w:rPr>
        <w:t>IB,c</w:t>
      </w:r>
      <w:r>
        <w:rPr>
          <w:b w:val="0"/>
          <w:bCs w:val="0"/>
          <w:sz w:val="20"/>
          <w:lang w:eastAsia="zh-CN"/>
        </w:rPr>
        <w:t xml:space="preserve"> + ∆T</w:t>
      </w:r>
      <w:r>
        <w:rPr>
          <w:b w:val="0"/>
          <w:bCs w:val="0"/>
          <w:sz w:val="20"/>
          <w:vertAlign w:val="subscript"/>
          <w:lang w:eastAsia="zh-CN"/>
        </w:rPr>
        <w:t xml:space="preserve">C,c </w:t>
      </w:r>
      <w:r>
        <w:rPr>
          <w:b w:val="0"/>
          <w:bCs w:val="0"/>
          <w:sz w:val="20"/>
          <w:lang w:eastAsia="zh-CN"/>
        </w:rPr>
        <w:t>+</w:t>
      </w:r>
      <w:r>
        <w:rPr>
          <w:b w:val="0"/>
          <w:bCs w:val="0"/>
          <w:sz w:val="20"/>
          <w:vertAlign w:val="subscript"/>
          <w:lang w:eastAsia="zh-CN"/>
        </w:rPr>
        <w:t xml:space="preserve"> </w:t>
      </w:r>
      <w:r>
        <w:rPr>
          <w:b w:val="0"/>
          <w:bCs w:val="0"/>
          <w:color w:val="FF0000"/>
          <w:sz w:val="20"/>
        </w:rPr>
        <w:t>∆T</w:t>
      </w:r>
      <w:r>
        <w:rPr>
          <w:b w:val="0"/>
          <w:bCs w:val="0"/>
          <w:color w:val="FF0000"/>
          <w:sz w:val="20"/>
          <w:vertAlign w:val="subscript"/>
          <w:lang w:eastAsia="zh-CN"/>
        </w:rPr>
        <w:t>RxSRS,UE</w:t>
      </w:r>
      <w:r>
        <w:rPr>
          <w:b w:val="0"/>
          <w:bCs w:val="0"/>
          <w:sz w:val="20"/>
          <w:lang w:eastAsia="zh-CN"/>
        </w:rPr>
        <w:t>, P-MPR</w:t>
      </w:r>
      <w:r>
        <w:rPr>
          <w:b w:val="0"/>
          <w:bCs w:val="0"/>
          <w:sz w:val="20"/>
          <w:vertAlign w:val="subscript"/>
          <w:lang w:eastAsia="zh-CN"/>
        </w:rPr>
        <w:t>c</w:t>
      </w:r>
      <w:r>
        <w:rPr>
          <w:b w:val="0"/>
          <w:bCs w:val="0"/>
          <w:sz w:val="20"/>
          <w:lang w:eastAsia="zh-CN"/>
        </w:rPr>
        <w:t>) }</w:t>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sz w:val="20"/>
          <w:vertAlign w:val="baseline"/>
          <w:lang w:val="en-US" w:eastAsia="zh-CN"/>
        </w:rPr>
        <w:t xml:space="preserve">But of course, if the UE has already achieve the </w:t>
      </w:r>
      <w:r>
        <w:rPr>
          <w:sz w:val="20"/>
          <w:lang w:eastAsia="zh-CN"/>
        </w:rPr>
        <w:t>P</w:t>
      </w:r>
      <w:r>
        <w:rPr>
          <w:sz w:val="20"/>
          <w:vertAlign w:val="subscript"/>
          <w:lang w:eastAsia="zh-CN"/>
        </w:rPr>
        <w:t>CMAX,</w:t>
      </w:r>
      <w:r>
        <w:rPr>
          <w:rFonts w:hint="eastAsia"/>
          <w:sz w:val="20"/>
          <w:vertAlign w:val="subscript"/>
          <w:lang w:val="en-US" w:eastAsia="zh-CN"/>
        </w:rPr>
        <w:t>H,</w:t>
      </w:r>
      <w:r>
        <w:rPr>
          <w:rFonts w:hint="eastAsia"/>
          <w:sz w:val="20"/>
          <w:vertAlign w:val="baseline"/>
          <w:lang w:val="en-US" w:eastAsia="zh-CN"/>
        </w:rPr>
        <w:t xml:space="preserve"> and there is no power headroom</w:t>
      </w:r>
      <w:r>
        <w:rPr>
          <w:rFonts w:hint="eastAsia"/>
          <w:b w:val="0"/>
          <w:bCs w:val="0"/>
          <w:i w:val="0"/>
          <w:iCs w:val="0"/>
          <w:color w:val="auto"/>
          <w:sz w:val="20"/>
          <w:szCs w:val="20"/>
          <w:lang w:val="en-US" w:eastAsia="zh-CN"/>
        </w:rPr>
        <w:t>, then there are no room left for UE to perform</w:t>
      </w:r>
      <w:r>
        <w:rPr>
          <w:rFonts w:hint="eastAsia"/>
          <w:sz w:val="20"/>
          <w:vertAlign w:val="baseline"/>
          <w:lang w:val="en-US" w:eastAsia="zh-CN"/>
        </w:rPr>
        <w:t xml:space="preserve"> the IL </w:t>
      </w:r>
      <w:r>
        <w:rPr>
          <w:rFonts w:hint="eastAsia"/>
          <w:b w:val="0"/>
          <w:bCs w:val="0"/>
          <w:i w:val="0"/>
          <w:iCs w:val="0"/>
          <w:color w:val="auto"/>
          <w:sz w:val="20"/>
          <w:szCs w:val="20"/>
          <w:lang w:val="en-US" w:eastAsia="zh-CN"/>
        </w:rPr>
        <w:t xml:space="preserve">compensation.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w:t>
      </w:r>
      <w:r>
        <w:rPr>
          <w:rFonts w:hint="eastAsia"/>
          <w:b w:val="0"/>
          <w:bCs/>
          <w:i w:val="0"/>
          <w:iCs/>
          <w:kern w:val="0"/>
          <w:sz w:val="20"/>
          <w:szCs w:val="20"/>
          <w:lang w:val="en-US" w:eastAsia="zh-CN"/>
        </w:rPr>
        <w:t>O</w:t>
      </w:r>
      <w:r>
        <w:rPr>
          <w:rFonts w:ascii="Times New Roman" w:hAnsi="Times New Roman"/>
          <w:b w:val="0"/>
          <w:bCs/>
          <w:i w:val="0"/>
          <w:iCs/>
          <w:kern w:val="0"/>
          <w:sz w:val="20"/>
          <w:szCs w:val="20"/>
          <w:lang w:val="en-GB" w:eastAsia="zh-CN"/>
        </w:rPr>
        <w:t xml:space="preserve">nce the </w:t>
      </w:r>
      <w:r>
        <w:rPr>
          <w:rFonts w:hint="eastAsia" w:ascii="Times New Roman" w:hAnsi="Times New Roman"/>
          <w:b w:val="0"/>
          <w:bCs/>
          <w:i w:val="0"/>
          <w:iCs/>
          <w:kern w:val="0"/>
          <w:sz w:val="20"/>
          <w:szCs w:val="20"/>
          <w:lang w:val="en-US" w:eastAsia="zh-CN"/>
        </w:rPr>
        <w:t xml:space="preserve">NW </w:t>
      </w:r>
      <w:r>
        <w:rPr>
          <w:rFonts w:ascii="Times New Roman" w:hAnsi="Times New Roman"/>
          <w:b w:val="0"/>
          <w:bCs/>
          <w:i w:val="0"/>
          <w:iCs/>
          <w:kern w:val="0"/>
          <w:sz w:val="20"/>
          <w:szCs w:val="20"/>
          <w:lang w:val="en-GB" w:eastAsia="zh-CN"/>
        </w:rPr>
        <w:t>requests such information</w:t>
      </w:r>
      <w:r>
        <w:rPr>
          <w:rFonts w:hint="eastAsia"/>
          <w:b w:val="0"/>
          <w:bCs/>
          <w:i w:val="0"/>
          <w:iCs/>
          <w:kern w:val="0"/>
          <w:sz w:val="20"/>
          <w:szCs w:val="20"/>
          <w:lang w:val="en-US" w:eastAsia="zh-CN"/>
        </w:rPr>
        <w:t>, i</w:t>
      </w:r>
      <w:r>
        <w:rPr>
          <w:rFonts w:hint="eastAsia"/>
          <w:b w:val="0"/>
          <w:bCs w:val="0"/>
          <w:i w:val="0"/>
          <w:iCs w:val="0"/>
          <w:color w:val="auto"/>
          <w:sz w:val="20"/>
          <w:szCs w:val="20"/>
          <w:lang w:val="en-US" w:eastAsia="zh-CN"/>
        </w:rPr>
        <w:t>t is advantageous for UE to inform the Network (NW) of this compensation information as it facilitates more precise CSI estimation.</w:t>
      </w:r>
    </w:p>
    <w:p>
      <w:pPr>
        <w:keepNext w:val="0"/>
        <w:keepLines w:val="0"/>
        <w:pageBreakBefore w:val="0"/>
        <w:widowControl/>
        <w:kinsoku/>
        <w:wordWrap/>
        <w:overflowPunct/>
        <w:topLinePunct w:val="0"/>
        <w:autoSpaceDE/>
        <w:autoSpaceDN/>
        <w:bidi w:val="0"/>
        <w:adjustRightInd/>
        <w:snapToGrid/>
        <w:jc w:val="both"/>
        <w:textAlignment w:val="auto"/>
        <w:rPr>
          <w:rFonts w:hint="eastAsia" w:cs="Times New Roman"/>
          <w:kern w:val="2"/>
          <w:sz w:val="20"/>
          <w:szCs w:val="20"/>
          <w:lang w:val="en-US" w:eastAsia="zh-CN" w:bidi="ar-SA"/>
        </w:rPr>
      </w:pPr>
      <w:r>
        <w:rPr>
          <w:rFonts w:hint="eastAsia"/>
          <w:b w:val="0"/>
          <w:bCs w:val="0"/>
          <w:i w:val="0"/>
          <w:iCs w:val="0"/>
          <w:color w:val="auto"/>
          <w:sz w:val="20"/>
          <w:szCs w:val="20"/>
          <w:lang w:val="en-US" w:eastAsia="zh-CN"/>
        </w:rPr>
        <w:t xml:space="preserve">When </w:t>
      </w:r>
      <w:r>
        <w:rPr>
          <w:rFonts w:ascii="Times New Roman" w:hAnsi="Times New Roman" w:eastAsia="宋体" w:cs="Times New Roman"/>
          <w:kern w:val="2"/>
          <w:sz w:val="20"/>
          <w:szCs w:val="20"/>
          <w:lang w:val="en-US" w:eastAsia="zh-CN" w:bidi="ar-SA"/>
        </w:rPr>
        <w:t>UE performs self-compensation of SRS IL up to its configured maximum output power</w:t>
      </w:r>
      <w:r>
        <w:rPr>
          <w:rFonts w:hint="eastAsia" w:cs="Times New Roman"/>
          <w:kern w:val="2"/>
          <w:sz w:val="20"/>
          <w:szCs w:val="20"/>
          <w:lang w:val="en-US" w:eastAsia="zh-CN" w:bidi="ar-SA"/>
        </w:rPr>
        <w:t>, we think it would not introduce any additional RAN4 performance since SRS is optional configured only in UL timing adjustment, although SRS can be used to obtain the CSI information and beamforming, and higher SRS power, less BLER, there is no performance requirements related to SRS.</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lang w:val="en-US" w:eastAsia="zh-CN"/>
        </w:rPr>
      </w:pPr>
      <w:r>
        <w:rPr>
          <w:rFonts w:hint="eastAsia"/>
          <w:b/>
          <w:bCs/>
          <w:i/>
          <w:iCs/>
          <w:sz w:val="20"/>
          <w:lang w:val="en-US" w:eastAsia="zh-CN"/>
        </w:rPr>
        <w:t xml:space="preserve">Observation 2. UE performs self-compensation of SRS IL up to its configured maximum output power would not introduce any additional RAN4 performance requirement. </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Another way would be dynamic report although</w:t>
      </w:r>
      <w:r>
        <w:rPr>
          <w:rFonts w:hint="default"/>
          <w:b w:val="0"/>
          <w:bCs w:val="0"/>
          <w:i w:val="0"/>
          <w:iCs w:val="0"/>
          <w:color w:val="auto"/>
          <w:sz w:val="20"/>
          <w:szCs w:val="20"/>
          <w:lang w:val="en-US" w:eastAsia="zh-CN"/>
        </w:rPr>
        <w:t xml:space="preserve"> it is admittedly 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w:t>
      </w:r>
      <w:r>
        <w:rPr>
          <w:rFonts w:hint="eastAsia"/>
          <w:b w:val="0"/>
          <w:bCs w:val="0"/>
          <w:i w:val="0"/>
          <w:iCs w:val="0"/>
          <w:color w:val="auto"/>
          <w:sz w:val="20"/>
          <w:szCs w:val="20"/>
          <w:lang w:val="en-US" w:eastAsia="zh-CN"/>
        </w:rPr>
        <w:t>the UE power compensation. I</w:t>
      </w:r>
      <w:r>
        <w:rPr>
          <w:rFonts w:hint="default"/>
          <w:b w:val="0"/>
          <w:bCs w:val="0"/>
          <w:i w:val="0"/>
          <w:iCs w:val="0"/>
          <w:color w:val="auto"/>
          <w:sz w:val="20"/>
          <w:szCs w:val="20"/>
          <w:lang w:val="en-US"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L in d</w:t>
      </w:r>
      <w:r>
        <w:rPr>
          <w:rFonts w:hint="default"/>
          <w:b w:val="0"/>
          <w:bCs w:val="0"/>
          <w:i w:val="0"/>
          <w:iCs w:val="0"/>
          <w:color w:val="auto"/>
          <w:sz w:val="20"/>
          <w:szCs w:val="20"/>
          <w:lang w:val="en-US" w:eastAsia="zh-CN"/>
        </w:rPr>
        <w:t xml:space="preserve">ynamic reporting, providing crucial insights into the real-time performance of the system.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sz w:val="20"/>
          <w:lang w:val="en-US" w:eastAsia="zh-CN"/>
        </w:rPr>
        <w:t>In Rel-19, RAN1 and RAN2 are not involved in the WID, instead only RAN4 is included. In our understanding, the solutions discussed in RAN4 should little impact the RAN1/2 work as much as possible, which means the possible solution in RAN4 shall be in the scope of the existing RAN1/2</w:t>
      </w:r>
      <w:r>
        <w:rPr>
          <w:rFonts w:hint="default"/>
          <w:sz w:val="20"/>
          <w:lang w:val="en-US" w:eastAsia="zh-CN"/>
        </w:rPr>
        <w:t>’</w:t>
      </w:r>
      <w:r>
        <w:rPr>
          <w:rFonts w:hint="eastAsia"/>
          <w:sz w:val="20"/>
          <w:lang w:val="en-US" w:eastAsia="zh-CN"/>
        </w:rPr>
        <w:t>s framework. LS can be sent to RAN1 and/or RAN2 for the necessary changes once there are concrete agreements in RAN4. Therefore, we think per SRS resource reporting would little impact the RAN1</w:t>
      </w:r>
      <w:r>
        <w:rPr>
          <w:rFonts w:hint="default"/>
          <w:sz w:val="20"/>
          <w:lang w:val="en-US" w:eastAsia="zh-CN"/>
        </w:rPr>
        <w:t>’</w:t>
      </w:r>
      <w:r>
        <w:rPr>
          <w:rFonts w:hint="eastAsia"/>
          <w:sz w:val="20"/>
          <w:lang w:val="en-US" w:eastAsia="zh-CN"/>
        </w:rPr>
        <w:t>s protocol.</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val="0"/>
          <w:bCs w:val="0"/>
          <w:i w:val="0"/>
          <w:iCs w:val="0"/>
          <w:sz w:val="20"/>
          <w:szCs w:val="20"/>
          <w:lang w:val="en-US" w:eastAsia="zh-CN"/>
        </w:rPr>
      </w:pPr>
      <w:r>
        <w:rPr>
          <w:rFonts w:hint="eastAsia"/>
          <w:b w:val="0"/>
          <w:bCs w:val="0"/>
          <w:i w:val="0"/>
          <w:iCs w:val="0"/>
          <w:color w:val="auto"/>
          <w:sz w:val="20"/>
          <w:szCs w:val="20"/>
          <w:lang w:val="en-US" w:eastAsia="zh-CN"/>
        </w:rPr>
        <w:t xml:space="preserve">Moreover, </w:t>
      </w:r>
      <w:r>
        <w:rPr>
          <w:rFonts w:hint="eastAsia"/>
          <w:b w:val="0"/>
          <w:bCs w:val="0"/>
          <w:i w:val="0"/>
          <w:iCs w:val="0"/>
          <w:sz w:val="20"/>
          <w:szCs w:val="20"/>
          <w:lang w:val="en-US" w:eastAsia="zh-CN"/>
        </w:rPr>
        <w:t xml:space="preserve">Due to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minor 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b w:val="0"/>
          <w:bCs w:val="0"/>
          <w:i w:val="0"/>
          <w:iCs w:val="0"/>
          <w:sz w:val="20"/>
          <w:szCs w:val="20"/>
          <w:lang w:val="en-US" w:eastAsia="zh-CN"/>
        </w:rPr>
        <w:t>indication from UE to NW is optionally introduced for 6Rx, it can also apply to 2Rx/4Rx/8Rx case.</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With the above consideration, we have the following proposals: </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2.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t reached its Tx power</w:t>
      </w:r>
      <w:r>
        <w:rPr>
          <w:rFonts w:hint="eastAsia" w:cs="Times New Roman"/>
          <w:b/>
          <w:bCs/>
          <w:i/>
          <w:iCs/>
          <w:color w:val="auto"/>
          <w:sz w:val="20"/>
          <w:lang w:val="en-US" w:eastAsia="zh-CN"/>
        </w:rPr>
        <w:t xml:space="preserve"> 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widowControl w:val="0"/>
        <w:overflowPunct/>
        <w:autoSpaceDE/>
        <w:autoSpaceDN/>
        <w:adjustRightInd/>
        <w:spacing w:after="0"/>
        <w:ind w:left="0" w:firstLine="0"/>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3. No RAN4 speficification impacts are foreseen when UE </w:t>
      </w:r>
      <w:r>
        <w:rPr>
          <w:rFonts w:hint="eastAsia"/>
          <w:b/>
          <w:bCs/>
          <w:i/>
          <w:iCs/>
          <w:color w:val="auto"/>
          <w:sz w:val="20"/>
          <w:szCs w:val="20"/>
          <w:lang w:val="en-GB" w:eastAsia="zh-CN"/>
        </w:rPr>
        <w:t>performs self-compensation of SRS IL up to its configured maximum output power.</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4. If dynamic reporting for actual SRS IL reporting for each SRS-TxSwitch pattern is considered, and several thresholds associated with capability class for the actual SRS IL reporting can be considered.</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lang w:val="en-US" w:eastAsia="zh-CN"/>
        </w:rPr>
      </w:pPr>
      <w:r>
        <w:rPr>
          <w:rFonts w:hint="eastAsia"/>
          <w:b/>
          <w:bCs/>
          <w:i/>
          <w:iCs/>
          <w:color w:val="auto"/>
          <w:sz w:val="20"/>
          <w:szCs w:val="20"/>
          <w:lang w:val="en-US" w:eastAsia="zh-CN"/>
        </w:rPr>
        <w:t xml:space="preserve">Proposal 5: </w:t>
      </w:r>
      <w:r>
        <w:rPr>
          <w:rFonts w:hint="eastAsia" w:cs="Times New Roman"/>
          <w:b/>
          <w:bCs/>
          <w:i/>
          <w:iCs/>
          <w:color w:val="auto"/>
          <w:sz w:val="20"/>
          <w:szCs w:val="20"/>
          <w:lang w:val="en-US" w:eastAsia="zh-CN" w:bidi="ar-SA"/>
        </w:rPr>
        <w:t xml:space="preserve">When </w:t>
      </w:r>
      <w:r>
        <w:rPr>
          <w:rFonts w:hint="eastAsia" w:ascii="Times New Roman" w:hAnsi="Times New Roman" w:eastAsia="宋体" w:cs="Times New Roman"/>
          <w:b/>
          <w:bCs/>
          <w:i/>
          <w:iCs/>
          <w:color w:val="auto"/>
          <w:sz w:val="20"/>
          <w:szCs w:val="20"/>
          <w:lang w:val="en-US" w:eastAsia="zh-CN" w:bidi="ar-SA"/>
        </w:rPr>
        <w:t>UE provides assistance to the network on SRS IL compensation</w:t>
      </w:r>
      <w:r>
        <w:rPr>
          <w:rFonts w:hint="eastAsia" w:cs="Times New Roman"/>
          <w:b/>
          <w:bCs/>
          <w:i/>
          <w:iCs/>
          <w:color w:val="auto"/>
          <w:sz w:val="20"/>
          <w:szCs w:val="20"/>
          <w:lang w:val="en-US" w:eastAsia="zh-CN" w:bidi="ar-SA"/>
        </w:rPr>
        <w:t xml:space="preserve">, it should </w:t>
      </w:r>
      <w:r>
        <w:rPr>
          <w:rFonts w:hint="eastAsia"/>
          <w:b/>
          <w:bCs/>
          <w:i/>
          <w:iCs/>
          <w:color w:val="auto"/>
          <w:sz w:val="20"/>
          <w:lang w:val="en-US" w:eastAsia="zh-CN"/>
        </w:rPr>
        <w:t>per SRS resource reporting.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6. </w:t>
      </w:r>
      <w:r>
        <w:rPr>
          <w:b/>
          <w:bCs/>
          <w:i/>
          <w:iCs/>
          <w:sz w:val="20"/>
          <w:szCs w:val="20"/>
        </w:rPr>
        <w:t xml:space="preserve">Adjust the existing equations on </w:t>
      </w:r>
      <w:r>
        <w:rPr>
          <w:b/>
          <w:bCs/>
          <w:i/>
          <w:iCs/>
          <w:sz w:val="20"/>
          <w:szCs w:val="20"/>
          <w:lang w:eastAsia="zh-CN"/>
        </w:rPr>
        <w:t>P</w:t>
      </w:r>
      <w:r>
        <w:rPr>
          <w:b/>
          <w:bCs/>
          <w:i/>
          <w:iCs/>
          <w:sz w:val="20"/>
          <w:szCs w:val="20"/>
          <w:vertAlign w:val="subscript"/>
          <w:lang w:eastAsia="zh-CN"/>
        </w:rPr>
        <w:t>CMAX_L,f,c</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can also be considered. </w:t>
      </w:r>
    </w:p>
    <w:bookmarkEnd w:id="10"/>
    <w:bookmarkEnd w:id="11"/>
    <w:p>
      <w:pPr>
        <w:keepNext w:val="0"/>
        <w:keepLines w:val="0"/>
        <w:pageBreakBefore w:val="0"/>
        <w:widowControl w:val="0"/>
        <w:suppressLineNumbers w:val="0"/>
        <w:kinsoku/>
        <w:wordWrap/>
        <w:topLinePunct w:val="0"/>
        <w:bidi w:val="0"/>
        <w:snapToGrid/>
        <w:jc w:val="left"/>
        <w:rPr>
          <w:rFonts w:hint="eastAsia"/>
          <w:b/>
          <w:bCs/>
          <w:i/>
          <w:iCs/>
          <w:color w:val="auto"/>
          <w:sz w:val="20"/>
          <w:szCs w:val="20"/>
          <w:lang w:val="en-US" w:eastAsia="zh-CN"/>
        </w:rPr>
      </w:pPr>
      <w:bookmarkStart w:id="16" w:name="OLE_LINK61"/>
      <w:r>
        <w:rPr>
          <w:rFonts w:hint="eastAsia"/>
          <w:b/>
          <w:bCs/>
          <w:i/>
          <w:iCs/>
          <w:color w:val="auto"/>
          <w:sz w:val="20"/>
          <w:szCs w:val="20"/>
          <w:lang w:val="en-US" w:eastAsia="zh-CN"/>
        </w:rPr>
        <w:t>Proposal 7. The SRS IL imbalance reporting mechanism in 6Rx discussion should be also specified for 2Rx, 4Rx and 8Rx.</w:t>
      </w:r>
    </w:p>
    <w:bookmarkEnd w:id="12"/>
    <w:bookmarkEnd w:id="13"/>
    <w:bookmarkEnd w:id="14"/>
    <w:bookmarkEnd w:id="15"/>
    <w:bookmarkEnd w:id="1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r>
        <w:rPr>
          <w:rFonts w:hint="eastAsia"/>
          <w:bCs/>
          <w:kern w:val="0"/>
          <w:sz w:val="20"/>
          <w:szCs w:val="20"/>
          <w:highlight w:val="none"/>
          <w:lang w:val="en-US" w:eastAsia="zh-CN"/>
        </w:rPr>
        <w:t>. The conclusions are:</w:t>
      </w:r>
    </w:p>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 xml:space="preserve">Observation 1.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szCs w:val="20"/>
          <w:lang w:val="en-US"/>
        </w:rPr>
        <w:t>non-negligible performance degradation</w:t>
      </w:r>
      <w:r>
        <w:rPr>
          <w:rFonts w:hint="eastAsia"/>
          <w:b/>
          <w:bCs/>
          <w:i/>
          <w:iCs/>
          <w:sz w:val="20"/>
          <w:szCs w:val="20"/>
          <w:lang w:val="en-US" w:eastAsia="zh-CN"/>
        </w:rPr>
        <w:t xml:space="preserve"> according to the past discussions.</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szCs w:val="20"/>
          <w:lang w:val="en-US" w:eastAsia="zh-CN"/>
        </w:rPr>
      </w:pPr>
      <w:r>
        <w:rPr>
          <w:rFonts w:hint="eastAsia"/>
          <w:b/>
          <w:bCs/>
          <w:i/>
          <w:iCs/>
          <w:sz w:val="20"/>
          <w:lang w:val="en-US" w:eastAsia="zh-CN"/>
        </w:rPr>
        <w:t xml:space="preserve">Observation 2. UE performs self-compensation of SRS IL up to its configured maximum output power would not introduce any additional RAN4 performance requirement. </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2.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t reached its Tx power</w:t>
      </w:r>
      <w:r>
        <w:rPr>
          <w:rFonts w:hint="eastAsia" w:cs="Times New Roman"/>
          <w:b/>
          <w:bCs/>
          <w:i/>
          <w:iCs/>
          <w:color w:val="auto"/>
          <w:sz w:val="20"/>
          <w:lang w:val="en-US" w:eastAsia="zh-CN"/>
        </w:rPr>
        <w:t xml:space="preserve"> 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widowControl w:val="0"/>
        <w:overflowPunct/>
        <w:autoSpaceDE/>
        <w:autoSpaceDN/>
        <w:adjustRightInd/>
        <w:spacing w:after="0"/>
        <w:ind w:left="0" w:firstLine="0"/>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3. No RAN4 speficification impacts are foreseen when UE </w:t>
      </w:r>
      <w:r>
        <w:rPr>
          <w:rFonts w:hint="eastAsia"/>
          <w:b/>
          <w:bCs/>
          <w:i/>
          <w:iCs/>
          <w:color w:val="auto"/>
          <w:sz w:val="20"/>
          <w:szCs w:val="20"/>
          <w:lang w:val="en-GB" w:eastAsia="zh-CN"/>
        </w:rPr>
        <w:t>performs self-compensation of SRS IL up to its configured maximum output power.</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4. If dynamic reporting for actual SRS IL reporting for each SRS-TxSwitch pattern is considered, and several thresholds associated with capability class for the actual SRS IL reporting can be considered.</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lang w:val="en-US" w:eastAsia="zh-CN"/>
        </w:rPr>
      </w:pPr>
      <w:r>
        <w:rPr>
          <w:rFonts w:hint="eastAsia"/>
          <w:b/>
          <w:bCs/>
          <w:i/>
          <w:iCs/>
          <w:color w:val="auto"/>
          <w:sz w:val="20"/>
          <w:szCs w:val="20"/>
          <w:lang w:val="en-US" w:eastAsia="zh-CN"/>
        </w:rPr>
        <w:t xml:space="preserve">Proposal 5: </w:t>
      </w:r>
      <w:r>
        <w:rPr>
          <w:rFonts w:hint="eastAsia" w:cs="Times New Roman"/>
          <w:b/>
          <w:bCs/>
          <w:i/>
          <w:iCs/>
          <w:color w:val="auto"/>
          <w:sz w:val="20"/>
          <w:szCs w:val="20"/>
          <w:lang w:val="en-US" w:eastAsia="zh-CN" w:bidi="ar-SA"/>
        </w:rPr>
        <w:t xml:space="preserve">When </w:t>
      </w:r>
      <w:r>
        <w:rPr>
          <w:rFonts w:hint="eastAsia" w:ascii="Times New Roman" w:hAnsi="Times New Roman" w:eastAsia="宋体" w:cs="Times New Roman"/>
          <w:b/>
          <w:bCs/>
          <w:i/>
          <w:iCs/>
          <w:color w:val="auto"/>
          <w:sz w:val="20"/>
          <w:szCs w:val="20"/>
          <w:lang w:val="en-US" w:eastAsia="zh-CN" w:bidi="ar-SA"/>
        </w:rPr>
        <w:t>UE provides assistance to the network on SRS IL compensation</w:t>
      </w:r>
      <w:r>
        <w:rPr>
          <w:rFonts w:hint="eastAsia" w:cs="Times New Roman"/>
          <w:b/>
          <w:bCs/>
          <w:i/>
          <w:iCs/>
          <w:color w:val="auto"/>
          <w:sz w:val="20"/>
          <w:szCs w:val="20"/>
          <w:lang w:val="en-US" w:eastAsia="zh-CN" w:bidi="ar-SA"/>
        </w:rPr>
        <w:t xml:space="preserve">, it should </w:t>
      </w:r>
      <w:r>
        <w:rPr>
          <w:rFonts w:hint="eastAsia"/>
          <w:b/>
          <w:bCs/>
          <w:i/>
          <w:iCs/>
          <w:color w:val="auto"/>
          <w:sz w:val="20"/>
          <w:lang w:val="en-US" w:eastAsia="zh-CN"/>
        </w:rPr>
        <w:t>per SRS resource reporting.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6. </w:t>
      </w:r>
      <w:r>
        <w:rPr>
          <w:b/>
          <w:bCs/>
          <w:i/>
          <w:iCs/>
          <w:sz w:val="20"/>
          <w:szCs w:val="20"/>
        </w:rPr>
        <w:t xml:space="preserve">Adjust the existing equations on </w:t>
      </w:r>
      <w:r>
        <w:rPr>
          <w:b/>
          <w:bCs/>
          <w:i/>
          <w:iCs/>
          <w:sz w:val="20"/>
          <w:szCs w:val="20"/>
          <w:lang w:eastAsia="zh-CN"/>
        </w:rPr>
        <w:t>P</w:t>
      </w:r>
      <w:r>
        <w:rPr>
          <w:b/>
          <w:bCs/>
          <w:i/>
          <w:iCs/>
          <w:sz w:val="20"/>
          <w:szCs w:val="20"/>
          <w:vertAlign w:val="subscript"/>
          <w:lang w:eastAsia="zh-CN"/>
        </w:rPr>
        <w:t>CMAX_L,f,c</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can also be considered. </w:t>
      </w:r>
    </w:p>
    <w:p>
      <w:pPr>
        <w:keepNext w:val="0"/>
        <w:keepLines w:val="0"/>
        <w:pageBreakBefore w:val="0"/>
        <w:widowControl w:val="0"/>
        <w:suppressLineNumbers w:val="0"/>
        <w:kinsoku/>
        <w:wordWrap/>
        <w:topLinePunct w:val="0"/>
        <w:bidi w:val="0"/>
        <w:snapToGrid/>
        <w:jc w:val="left"/>
        <w:rPr>
          <w:rFonts w:hint="eastAsia"/>
          <w:b/>
          <w:bCs/>
          <w:i/>
          <w:iCs/>
          <w:color w:val="auto"/>
          <w:sz w:val="20"/>
          <w:szCs w:val="20"/>
          <w:lang w:val="en-US" w:eastAsia="zh-CN"/>
        </w:rPr>
      </w:pPr>
      <w:r>
        <w:rPr>
          <w:rFonts w:hint="eastAsia"/>
          <w:b/>
          <w:bCs/>
          <w:i/>
          <w:iCs/>
          <w:color w:val="auto"/>
          <w:sz w:val="20"/>
          <w:szCs w:val="20"/>
          <w:lang w:val="en-US" w:eastAsia="zh-CN"/>
        </w:rPr>
        <w:t>Proposal 7. The SRS IL imbalance reporting mechanism in 6Rx discussion should be also specified for 2Rx, 4Rx and 8Rx.</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kinsoku/>
        <w:wordWrap/>
        <w:overflowPunct/>
        <w:topLinePunct w:val="0"/>
        <w:autoSpaceDE/>
        <w:autoSpaceDN/>
        <w:bidi w:val="0"/>
        <w:adjustRightInd/>
        <w:snapToGrid/>
        <w:spacing w:line="260" w:lineRule="auto"/>
        <w:textAlignment w:val="auto"/>
        <w:outlineLvl w:val="9"/>
        <w:rPr>
          <w:rFonts w:hint="eastAsia"/>
          <w:sz w:val="20"/>
          <w:szCs w:val="20"/>
          <w:lang w:val="en-US" w:eastAsia="zh-CN"/>
        </w:rPr>
      </w:pPr>
      <w:r>
        <w:rPr>
          <w:rFonts w:hint="eastAsia"/>
          <w:sz w:val="20"/>
          <w:szCs w:val="20"/>
          <w:lang w:val="en-US" w:eastAsia="zh-CN"/>
        </w:rPr>
        <w:t xml:space="preserve">[1] </w:t>
      </w:r>
      <w:r>
        <w:rPr>
          <w:rFonts w:hint="eastAsia"/>
          <w:sz w:val="20"/>
          <w:lang w:val="en-US"/>
        </w:rPr>
        <w:fldChar w:fldCharType="begin"/>
      </w:r>
      <w:r>
        <w:rPr>
          <w:rFonts w:hint="eastAsia"/>
          <w:sz w:val="20"/>
          <w:lang w:val="en-US"/>
        </w:rPr>
        <w:instrText xml:space="preserve"> HYPERLINK "http://10.10.10.10/ftp/RAN/RAN4/Inbox/R4-2503014.zip" </w:instrText>
      </w:r>
      <w:r>
        <w:rPr>
          <w:rFonts w:hint="eastAsia"/>
          <w:sz w:val="20"/>
          <w:lang w:val="en-US"/>
        </w:rPr>
        <w:fldChar w:fldCharType="separate"/>
      </w:r>
      <w:r>
        <w:rPr>
          <w:rFonts w:hint="eastAsia"/>
          <w:sz w:val="20"/>
          <w:lang w:val="en-US" w:eastAsia="en-GB"/>
        </w:rPr>
        <w:t>R4-2503014</w:t>
      </w:r>
      <w:r>
        <w:rPr>
          <w:rFonts w:hint="eastAsia"/>
          <w:sz w:val="20"/>
          <w:lang w:val="en-US" w:eastAsia="en-GB"/>
        </w:rPr>
        <w:fldChar w:fldCharType="end"/>
      </w:r>
      <w:r>
        <w:rPr>
          <w:rFonts w:hint="eastAsia"/>
          <w:sz w:val="20"/>
          <w:szCs w:val="20"/>
          <w:lang w:val="en-US" w:eastAsia="zh-CN"/>
        </w:rPr>
        <w:t xml:space="preserve">, </w:t>
      </w:r>
      <w:r>
        <w:rPr>
          <w:rFonts w:hint="default"/>
          <w:sz w:val="20"/>
          <w:szCs w:val="20"/>
          <w:lang w:val="en-US" w:eastAsia="en-GB"/>
        </w:rPr>
        <w:t>WF on 6Rx requirements</w:t>
      </w:r>
      <w:r>
        <w:rPr>
          <w:rFonts w:hint="eastAsia"/>
          <w:sz w:val="20"/>
          <w:szCs w:val="20"/>
          <w:lang w:val="en-US" w:eastAsia="zh-CN"/>
        </w:rPr>
        <w:t>, AT&amp;T</w:t>
      </w:r>
    </w:p>
    <w:p>
      <w:pPr>
        <w:keepNext w:val="0"/>
        <w:keepLines w:val="0"/>
        <w:pageBreakBefore w:val="0"/>
        <w:widowControl w:val="0"/>
        <w:kinsoku/>
        <w:wordWrap/>
        <w:overflowPunct/>
        <w:topLinePunct w:val="0"/>
        <w:autoSpaceDE/>
        <w:autoSpaceDN/>
        <w:bidi w:val="0"/>
        <w:adjustRightInd/>
        <w:snapToGrid/>
        <w:spacing w:line="260" w:lineRule="auto"/>
        <w:textAlignment w:val="auto"/>
        <w:outlineLvl w:val="9"/>
        <w:rPr>
          <w:rFonts w:hint="eastAsia"/>
          <w:sz w:val="20"/>
          <w:szCs w:val="20"/>
          <w:lang w:val="en-US" w:eastAsia="zh-CN"/>
        </w:rPr>
      </w:pPr>
      <w:r>
        <w:rPr>
          <w:rFonts w:hint="eastAsia"/>
          <w:sz w:val="20"/>
          <w:szCs w:val="20"/>
          <w:lang w:val="en-US" w:eastAsia="zh-CN"/>
        </w:rPr>
        <w:t>[2] R4-2500947, Views on 6Rx SRS antenna IL,, ZTE, Sanechips</w:t>
      </w:r>
    </w:p>
    <w:p>
      <w:pPr>
        <w:keepNext w:val="0"/>
        <w:keepLines w:val="0"/>
        <w:pageBreakBefore w:val="0"/>
        <w:widowControl w:val="0"/>
        <w:numPr>
          <w:ilvl w:val="-1"/>
          <w:numId w:val="0"/>
        </w:numPr>
        <w:kinsoku/>
        <w:wordWrap/>
        <w:topLinePunct w:val="0"/>
        <w:bidi w:val="0"/>
        <w:snapToGrid/>
        <w:jc w:val="left"/>
        <w:outlineLvl w:val="9"/>
        <w:rPr>
          <w:rFonts w:hint="default" w:ascii="Times New Roman" w:hAnsi="Times New Roman" w:eastAsia="宋体" w:cs="Times New Roman"/>
          <w:b w:val="0"/>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3479"/>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17FCE"/>
    <w:rsid w:val="00523175"/>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61FB7"/>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847E5"/>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34084"/>
    <w:rsid w:val="029A69A7"/>
    <w:rsid w:val="029B04E7"/>
    <w:rsid w:val="02A64DF3"/>
    <w:rsid w:val="02BB5A8C"/>
    <w:rsid w:val="02C2332C"/>
    <w:rsid w:val="02DC3F9C"/>
    <w:rsid w:val="02DC73AA"/>
    <w:rsid w:val="02E015BB"/>
    <w:rsid w:val="02F12CE4"/>
    <w:rsid w:val="02F20765"/>
    <w:rsid w:val="03073BDC"/>
    <w:rsid w:val="030B0647"/>
    <w:rsid w:val="030C40C1"/>
    <w:rsid w:val="03105E59"/>
    <w:rsid w:val="031E0255"/>
    <w:rsid w:val="03206AD1"/>
    <w:rsid w:val="03362153"/>
    <w:rsid w:val="03445E8F"/>
    <w:rsid w:val="0344642A"/>
    <w:rsid w:val="035154D3"/>
    <w:rsid w:val="03527C38"/>
    <w:rsid w:val="035402E6"/>
    <w:rsid w:val="0356746F"/>
    <w:rsid w:val="03746F87"/>
    <w:rsid w:val="037C4E46"/>
    <w:rsid w:val="03803FCB"/>
    <w:rsid w:val="03814F5B"/>
    <w:rsid w:val="03883B6F"/>
    <w:rsid w:val="038B3141"/>
    <w:rsid w:val="03966EAF"/>
    <w:rsid w:val="03A77DFA"/>
    <w:rsid w:val="03B339B1"/>
    <w:rsid w:val="03C05350"/>
    <w:rsid w:val="03C1287B"/>
    <w:rsid w:val="03C36B0E"/>
    <w:rsid w:val="03CF67FA"/>
    <w:rsid w:val="03D047A4"/>
    <w:rsid w:val="03DE1667"/>
    <w:rsid w:val="03E358F3"/>
    <w:rsid w:val="03E84DE8"/>
    <w:rsid w:val="04030035"/>
    <w:rsid w:val="04167039"/>
    <w:rsid w:val="041707DE"/>
    <w:rsid w:val="04251A4C"/>
    <w:rsid w:val="042D2E97"/>
    <w:rsid w:val="04305EA0"/>
    <w:rsid w:val="04380F7D"/>
    <w:rsid w:val="043865BF"/>
    <w:rsid w:val="044517C9"/>
    <w:rsid w:val="044C78D8"/>
    <w:rsid w:val="04524526"/>
    <w:rsid w:val="04537B11"/>
    <w:rsid w:val="0457028C"/>
    <w:rsid w:val="04684A28"/>
    <w:rsid w:val="04782230"/>
    <w:rsid w:val="0479507E"/>
    <w:rsid w:val="04894975"/>
    <w:rsid w:val="04955965"/>
    <w:rsid w:val="04B14B03"/>
    <w:rsid w:val="04C21954"/>
    <w:rsid w:val="04DA1A87"/>
    <w:rsid w:val="04DE2DA3"/>
    <w:rsid w:val="04FF1C94"/>
    <w:rsid w:val="04FF7D5A"/>
    <w:rsid w:val="0502349F"/>
    <w:rsid w:val="050E7487"/>
    <w:rsid w:val="051126EC"/>
    <w:rsid w:val="05161D2D"/>
    <w:rsid w:val="051A6E97"/>
    <w:rsid w:val="0522500E"/>
    <w:rsid w:val="052A3888"/>
    <w:rsid w:val="052E568F"/>
    <w:rsid w:val="05313036"/>
    <w:rsid w:val="053973F0"/>
    <w:rsid w:val="053E65E7"/>
    <w:rsid w:val="0555228E"/>
    <w:rsid w:val="055C5454"/>
    <w:rsid w:val="057330AC"/>
    <w:rsid w:val="05770104"/>
    <w:rsid w:val="057D1D66"/>
    <w:rsid w:val="059D265F"/>
    <w:rsid w:val="05B2756C"/>
    <w:rsid w:val="05B92EC1"/>
    <w:rsid w:val="05D03328"/>
    <w:rsid w:val="05D85E1B"/>
    <w:rsid w:val="05E078B3"/>
    <w:rsid w:val="05E17CD3"/>
    <w:rsid w:val="0601277E"/>
    <w:rsid w:val="060C5AED"/>
    <w:rsid w:val="06103146"/>
    <w:rsid w:val="06172561"/>
    <w:rsid w:val="06185A3E"/>
    <w:rsid w:val="06190837"/>
    <w:rsid w:val="061E54DA"/>
    <w:rsid w:val="061E5E22"/>
    <w:rsid w:val="06460B91"/>
    <w:rsid w:val="06511F8B"/>
    <w:rsid w:val="0654187C"/>
    <w:rsid w:val="065475DE"/>
    <w:rsid w:val="065D586C"/>
    <w:rsid w:val="06680D11"/>
    <w:rsid w:val="06725291"/>
    <w:rsid w:val="06760DBE"/>
    <w:rsid w:val="067C28D6"/>
    <w:rsid w:val="067C5176"/>
    <w:rsid w:val="068E06BC"/>
    <w:rsid w:val="069201CB"/>
    <w:rsid w:val="06A03E91"/>
    <w:rsid w:val="06A27E98"/>
    <w:rsid w:val="06A57F71"/>
    <w:rsid w:val="06AB7C30"/>
    <w:rsid w:val="06B741D9"/>
    <w:rsid w:val="06C457B6"/>
    <w:rsid w:val="06C55827"/>
    <w:rsid w:val="06CD4A70"/>
    <w:rsid w:val="06DF4C13"/>
    <w:rsid w:val="06E7678C"/>
    <w:rsid w:val="06EC4A95"/>
    <w:rsid w:val="06F42A88"/>
    <w:rsid w:val="06F801C0"/>
    <w:rsid w:val="06F90600"/>
    <w:rsid w:val="06FB38AA"/>
    <w:rsid w:val="071C13A8"/>
    <w:rsid w:val="0731756D"/>
    <w:rsid w:val="073D143C"/>
    <w:rsid w:val="07472F26"/>
    <w:rsid w:val="074855FD"/>
    <w:rsid w:val="074A1304"/>
    <w:rsid w:val="07627CA0"/>
    <w:rsid w:val="076319C4"/>
    <w:rsid w:val="07691233"/>
    <w:rsid w:val="076C2757"/>
    <w:rsid w:val="077241E3"/>
    <w:rsid w:val="077D2DD8"/>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07130"/>
    <w:rsid w:val="08341060"/>
    <w:rsid w:val="08361D6A"/>
    <w:rsid w:val="085539AF"/>
    <w:rsid w:val="085C7468"/>
    <w:rsid w:val="086F6B40"/>
    <w:rsid w:val="08787FF0"/>
    <w:rsid w:val="0889002B"/>
    <w:rsid w:val="088E1335"/>
    <w:rsid w:val="089757C0"/>
    <w:rsid w:val="08A44DA6"/>
    <w:rsid w:val="08AA245A"/>
    <w:rsid w:val="08BA6E24"/>
    <w:rsid w:val="08C562FD"/>
    <w:rsid w:val="08CA27B1"/>
    <w:rsid w:val="08E916DF"/>
    <w:rsid w:val="08EF4B9F"/>
    <w:rsid w:val="08FC0AA5"/>
    <w:rsid w:val="090165D1"/>
    <w:rsid w:val="09066782"/>
    <w:rsid w:val="09127E2C"/>
    <w:rsid w:val="09306537"/>
    <w:rsid w:val="09355076"/>
    <w:rsid w:val="09392119"/>
    <w:rsid w:val="09445E95"/>
    <w:rsid w:val="09543B3B"/>
    <w:rsid w:val="09600FBD"/>
    <w:rsid w:val="096D5B06"/>
    <w:rsid w:val="096F346B"/>
    <w:rsid w:val="0972418C"/>
    <w:rsid w:val="098143BC"/>
    <w:rsid w:val="09B236ED"/>
    <w:rsid w:val="09B3627A"/>
    <w:rsid w:val="09BD407A"/>
    <w:rsid w:val="09DA0E26"/>
    <w:rsid w:val="09E55691"/>
    <w:rsid w:val="09F50235"/>
    <w:rsid w:val="09F67CD5"/>
    <w:rsid w:val="0A0835C8"/>
    <w:rsid w:val="0A117603"/>
    <w:rsid w:val="0A145721"/>
    <w:rsid w:val="0A1F5AD1"/>
    <w:rsid w:val="0A2944B6"/>
    <w:rsid w:val="0A3708FF"/>
    <w:rsid w:val="0A376B34"/>
    <w:rsid w:val="0A3A5FEA"/>
    <w:rsid w:val="0A3B01F9"/>
    <w:rsid w:val="0A3F0488"/>
    <w:rsid w:val="0A3F2600"/>
    <w:rsid w:val="0A402A36"/>
    <w:rsid w:val="0A4E6531"/>
    <w:rsid w:val="0A646846"/>
    <w:rsid w:val="0A7B389A"/>
    <w:rsid w:val="0A9B1B16"/>
    <w:rsid w:val="0A9D2D7E"/>
    <w:rsid w:val="0A9E3D3D"/>
    <w:rsid w:val="0AA077E0"/>
    <w:rsid w:val="0AB763B5"/>
    <w:rsid w:val="0AC0212C"/>
    <w:rsid w:val="0ACB2C6F"/>
    <w:rsid w:val="0ACC73A9"/>
    <w:rsid w:val="0ACE7EE0"/>
    <w:rsid w:val="0AD542C1"/>
    <w:rsid w:val="0AD862F0"/>
    <w:rsid w:val="0ADD5A20"/>
    <w:rsid w:val="0AE10FD9"/>
    <w:rsid w:val="0AF13898"/>
    <w:rsid w:val="0AFB3228"/>
    <w:rsid w:val="0AFC6C07"/>
    <w:rsid w:val="0B0F025C"/>
    <w:rsid w:val="0B0F0DA6"/>
    <w:rsid w:val="0B13439A"/>
    <w:rsid w:val="0B1A6333"/>
    <w:rsid w:val="0B2713F4"/>
    <w:rsid w:val="0B350370"/>
    <w:rsid w:val="0B3D701F"/>
    <w:rsid w:val="0B3E7DD7"/>
    <w:rsid w:val="0B514A22"/>
    <w:rsid w:val="0B561995"/>
    <w:rsid w:val="0B5C2C2A"/>
    <w:rsid w:val="0B653DDD"/>
    <w:rsid w:val="0B665E0A"/>
    <w:rsid w:val="0B67410C"/>
    <w:rsid w:val="0B8436DD"/>
    <w:rsid w:val="0B847B39"/>
    <w:rsid w:val="0B8D7CFF"/>
    <w:rsid w:val="0B9E71DF"/>
    <w:rsid w:val="0BB524B8"/>
    <w:rsid w:val="0BC22C8E"/>
    <w:rsid w:val="0BC63DB2"/>
    <w:rsid w:val="0BCC4043"/>
    <w:rsid w:val="0BCC4B6A"/>
    <w:rsid w:val="0BEB51A2"/>
    <w:rsid w:val="0BEE6BB1"/>
    <w:rsid w:val="0BFF2578"/>
    <w:rsid w:val="0C0C08DC"/>
    <w:rsid w:val="0C1428F7"/>
    <w:rsid w:val="0C1E494F"/>
    <w:rsid w:val="0C28422E"/>
    <w:rsid w:val="0C323D10"/>
    <w:rsid w:val="0C3427D0"/>
    <w:rsid w:val="0C43327D"/>
    <w:rsid w:val="0C4426AF"/>
    <w:rsid w:val="0C45100C"/>
    <w:rsid w:val="0C4577EC"/>
    <w:rsid w:val="0C4E0BE0"/>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8A31EF"/>
    <w:rsid w:val="0D92310D"/>
    <w:rsid w:val="0D960D3E"/>
    <w:rsid w:val="0D966BF7"/>
    <w:rsid w:val="0DA50B71"/>
    <w:rsid w:val="0DB32F07"/>
    <w:rsid w:val="0DC830F1"/>
    <w:rsid w:val="0DCC3AE8"/>
    <w:rsid w:val="0DCF4D92"/>
    <w:rsid w:val="0DD87842"/>
    <w:rsid w:val="0DF202E1"/>
    <w:rsid w:val="0DF53CE3"/>
    <w:rsid w:val="0DFC712B"/>
    <w:rsid w:val="0E0961C5"/>
    <w:rsid w:val="0E1172BF"/>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52D89"/>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66BBA"/>
    <w:rsid w:val="0FAD33DA"/>
    <w:rsid w:val="0FBE2A42"/>
    <w:rsid w:val="0FC17CCE"/>
    <w:rsid w:val="0FC424B9"/>
    <w:rsid w:val="0FCE44FB"/>
    <w:rsid w:val="0FD70565"/>
    <w:rsid w:val="0FEC680C"/>
    <w:rsid w:val="0FFD5040"/>
    <w:rsid w:val="10007AD6"/>
    <w:rsid w:val="100E19D0"/>
    <w:rsid w:val="101C4A03"/>
    <w:rsid w:val="101D0C86"/>
    <w:rsid w:val="10240BF3"/>
    <w:rsid w:val="104A023B"/>
    <w:rsid w:val="10505F3B"/>
    <w:rsid w:val="105523FF"/>
    <w:rsid w:val="106D2686"/>
    <w:rsid w:val="106F0E5F"/>
    <w:rsid w:val="107671AA"/>
    <w:rsid w:val="107C3E2C"/>
    <w:rsid w:val="107D41AE"/>
    <w:rsid w:val="108C2479"/>
    <w:rsid w:val="109A6911"/>
    <w:rsid w:val="10A81377"/>
    <w:rsid w:val="10AC195E"/>
    <w:rsid w:val="10B80E65"/>
    <w:rsid w:val="10C02B10"/>
    <w:rsid w:val="10C715C5"/>
    <w:rsid w:val="10D335EF"/>
    <w:rsid w:val="10DC03F3"/>
    <w:rsid w:val="10E3716C"/>
    <w:rsid w:val="10E746EA"/>
    <w:rsid w:val="10E83FE0"/>
    <w:rsid w:val="10EC3168"/>
    <w:rsid w:val="10F52718"/>
    <w:rsid w:val="110D15FA"/>
    <w:rsid w:val="1116627D"/>
    <w:rsid w:val="112F02E7"/>
    <w:rsid w:val="113528A0"/>
    <w:rsid w:val="114028DC"/>
    <w:rsid w:val="116F1EB0"/>
    <w:rsid w:val="11765ED8"/>
    <w:rsid w:val="117B1D6A"/>
    <w:rsid w:val="117C2D9D"/>
    <w:rsid w:val="117F159E"/>
    <w:rsid w:val="11821DC9"/>
    <w:rsid w:val="118273C5"/>
    <w:rsid w:val="11921373"/>
    <w:rsid w:val="119C45DF"/>
    <w:rsid w:val="119D7849"/>
    <w:rsid w:val="11A61449"/>
    <w:rsid w:val="11AC7758"/>
    <w:rsid w:val="11C67B8F"/>
    <w:rsid w:val="11E57D4F"/>
    <w:rsid w:val="11F842DC"/>
    <w:rsid w:val="11F92DAB"/>
    <w:rsid w:val="11FC38D5"/>
    <w:rsid w:val="12035CB0"/>
    <w:rsid w:val="1210682D"/>
    <w:rsid w:val="121563D9"/>
    <w:rsid w:val="122449D0"/>
    <w:rsid w:val="122C5C28"/>
    <w:rsid w:val="12337C2C"/>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07AFD"/>
    <w:rsid w:val="12EE5106"/>
    <w:rsid w:val="13024DF8"/>
    <w:rsid w:val="1307341C"/>
    <w:rsid w:val="130E3629"/>
    <w:rsid w:val="13136909"/>
    <w:rsid w:val="131B39DD"/>
    <w:rsid w:val="131D0F34"/>
    <w:rsid w:val="13246C2D"/>
    <w:rsid w:val="13283BA4"/>
    <w:rsid w:val="13332F77"/>
    <w:rsid w:val="13334E1C"/>
    <w:rsid w:val="13346EE4"/>
    <w:rsid w:val="13384952"/>
    <w:rsid w:val="1355107F"/>
    <w:rsid w:val="135D4D2E"/>
    <w:rsid w:val="1366638D"/>
    <w:rsid w:val="136D76E8"/>
    <w:rsid w:val="137266E0"/>
    <w:rsid w:val="137D7E02"/>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27B8D"/>
    <w:rsid w:val="1459355A"/>
    <w:rsid w:val="145F07C7"/>
    <w:rsid w:val="14691748"/>
    <w:rsid w:val="146C5189"/>
    <w:rsid w:val="14816B50"/>
    <w:rsid w:val="148313F4"/>
    <w:rsid w:val="14934F1A"/>
    <w:rsid w:val="149559C4"/>
    <w:rsid w:val="14A759A3"/>
    <w:rsid w:val="14A80B48"/>
    <w:rsid w:val="14AC0C32"/>
    <w:rsid w:val="14C45576"/>
    <w:rsid w:val="14C76D6C"/>
    <w:rsid w:val="14DA3DA1"/>
    <w:rsid w:val="14E60B42"/>
    <w:rsid w:val="14EA1C4D"/>
    <w:rsid w:val="14F447EE"/>
    <w:rsid w:val="151472A1"/>
    <w:rsid w:val="1515004B"/>
    <w:rsid w:val="15207BBA"/>
    <w:rsid w:val="152F4E1B"/>
    <w:rsid w:val="154D342A"/>
    <w:rsid w:val="1559587F"/>
    <w:rsid w:val="1574662E"/>
    <w:rsid w:val="15751882"/>
    <w:rsid w:val="1575191B"/>
    <w:rsid w:val="157818C6"/>
    <w:rsid w:val="15863D5C"/>
    <w:rsid w:val="159F73BB"/>
    <w:rsid w:val="15A62093"/>
    <w:rsid w:val="15B03F28"/>
    <w:rsid w:val="15DE29CF"/>
    <w:rsid w:val="15E30A80"/>
    <w:rsid w:val="15F77CD3"/>
    <w:rsid w:val="16053765"/>
    <w:rsid w:val="1608480E"/>
    <w:rsid w:val="161C1C58"/>
    <w:rsid w:val="162C4E62"/>
    <w:rsid w:val="162F7556"/>
    <w:rsid w:val="16413A3A"/>
    <w:rsid w:val="164141CA"/>
    <w:rsid w:val="1644500C"/>
    <w:rsid w:val="16461A95"/>
    <w:rsid w:val="16594F06"/>
    <w:rsid w:val="1663404B"/>
    <w:rsid w:val="166F5E80"/>
    <w:rsid w:val="16766A92"/>
    <w:rsid w:val="167A52A9"/>
    <w:rsid w:val="16861701"/>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64295"/>
    <w:rsid w:val="17276DF4"/>
    <w:rsid w:val="1738730F"/>
    <w:rsid w:val="173B2DD6"/>
    <w:rsid w:val="17416499"/>
    <w:rsid w:val="17481B81"/>
    <w:rsid w:val="175007ED"/>
    <w:rsid w:val="17536547"/>
    <w:rsid w:val="175A036D"/>
    <w:rsid w:val="176533AC"/>
    <w:rsid w:val="176B45C6"/>
    <w:rsid w:val="176C447F"/>
    <w:rsid w:val="17761009"/>
    <w:rsid w:val="17875303"/>
    <w:rsid w:val="1793626E"/>
    <w:rsid w:val="179654E7"/>
    <w:rsid w:val="17A875F5"/>
    <w:rsid w:val="17B46DA6"/>
    <w:rsid w:val="17B92501"/>
    <w:rsid w:val="17E66DD8"/>
    <w:rsid w:val="17E677E9"/>
    <w:rsid w:val="17E84839"/>
    <w:rsid w:val="17EE1403"/>
    <w:rsid w:val="17F25234"/>
    <w:rsid w:val="17FD061B"/>
    <w:rsid w:val="17FF6314"/>
    <w:rsid w:val="18005F41"/>
    <w:rsid w:val="18025414"/>
    <w:rsid w:val="18171305"/>
    <w:rsid w:val="182344CA"/>
    <w:rsid w:val="18334194"/>
    <w:rsid w:val="183E1D37"/>
    <w:rsid w:val="184D0787"/>
    <w:rsid w:val="185D1883"/>
    <w:rsid w:val="18615557"/>
    <w:rsid w:val="18702224"/>
    <w:rsid w:val="18812331"/>
    <w:rsid w:val="18816F1C"/>
    <w:rsid w:val="18853F3E"/>
    <w:rsid w:val="18956393"/>
    <w:rsid w:val="18A8582C"/>
    <w:rsid w:val="18B50543"/>
    <w:rsid w:val="18BB0686"/>
    <w:rsid w:val="18C20432"/>
    <w:rsid w:val="18CD7A02"/>
    <w:rsid w:val="18F621ED"/>
    <w:rsid w:val="19001FFC"/>
    <w:rsid w:val="1905081B"/>
    <w:rsid w:val="190E2B4A"/>
    <w:rsid w:val="190E4495"/>
    <w:rsid w:val="190F5864"/>
    <w:rsid w:val="19185034"/>
    <w:rsid w:val="19256D7A"/>
    <w:rsid w:val="193275C2"/>
    <w:rsid w:val="19394FD2"/>
    <w:rsid w:val="193E37E1"/>
    <w:rsid w:val="195B59A7"/>
    <w:rsid w:val="195F3A6C"/>
    <w:rsid w:val="19663168"/>
    <w:rsid w:val="19767855"/>
    <w:rsid w:val="19786B0A"/>
    <w:rsid w:val="197C7068"/>
    <w:rsid w:val="199A2059"/>
    <w:rsid w:val="19A3135F"/>
    <w:rsid w:val="19AA0FFC"/>
    <w:rsid w:val="19B46E10"/>
    <w:rsid w:val="19C456C1"/>
    <w:rsid w:val="19C64218"/>
    <w:rsid w:val="19D8736A"/>
    <w:rsid w:val="19F061A1"/>
    <w:rsid w:val="19F97509"/>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240665"/>
    <w:rsid w:val="1B3637AD"/>
    <w:rsid w:val="1B3E0DB5"/>
    <w:rsid w:val="1B454C94"/>
    <w:rsid w:val="1B5258E6"/>
    <w:rsid w:val="1B6415FF"/>
    <w:rsid w:val="1B6C0DF0"/>
    <w:rsid w:val="1B76379D"/>
    <w:rsid w:val="1B7F6005"/>
    <w:rsid w:val="1B83337F"/>
    <w:rsid w:val="1B9C269A"/>
    <w:rsid w:val="1B9E64C5"/>
    <w:rsid w:val="1BBC3FA5"/>
    <w:rsid w:val="1BBE493C"/>
    <w:rsid w:val="1BC01115"/>
    <w:rsid w:val="1BC36606"/>
    <w:rsid w:val="1BC44015"/>
    <w:rsid w:val="1BCA6284"/>
    <w:rsid w:val="1C013494"/>
    <w:rsid w:val="1C053414"/>
    <w:rsid w:val="1C0C6675"/>
    <w:rsid w:val="1C132CB9"/>
    <w:rsid w:val="1C151FC8"/>
    <w:rsid w:val="1C273D33"/>
    <w:rsid w:val="1C4032AB"/>
    <w:rsid w:val="1C4672ED"/>
    <w:rsid w:val="1C467AB6"/>
    <w:rsid w:val="1C5207A8"/>
    <w:rsid w:val="1C6277A9"/>
    <w:rsid w:val="1C6C3736"/>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C73ACE"/>
    <w:rsid w:val="1DD32F44"/>
    <w:rsid w:val="1DE94164"/>
    <w:rsid w:val="1DE94821"/>
    <w:rsid w:val="1DEA459C"/>
    <w:rsid w:val="1DEE1B11"/>
    <w:rsid w:val="1DFA599B"/>
    <w:rsid w:val="1E164B52"/>
    <w:rsid w:val="1E273844"/>
    <w:rsid w:val="1E2F243E"/>
    <w:rsid w:val="1E310498"/>
    <w:rsid w:val="1E455D19"/>
    <w:rsid w:val="1E595CAF"/>
    <w:rsid w:val="1E6607F9"/>
    <w:rsid w:val="1E795C5B"/>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776DE7"/>
    <w:rsid w:val="1F887E80"/>
    <w:rsid w:val="1F935819"/>
    <w:rsid w:val="1FA6556D"/>
    <w:rsid w:val="1FA92D3B"/>
    <w:rsid w:val="1FAF2571"/>
    <w:rsid w:val="1FC55EDA"/>
    <w:rsid w:val="1FCA5C45"/>
    <w:rsid w:val="1FCE593C"/>
    <w:rsid w:val="1FE312AC"/>
    <w:rsid w:val="1FEC5915"/>
    <w:rsid w:val="1FED32EF"/>
    <w:rsid w:val="20350C87"/>
    <w:rsid w:val="20446081"/>
    <w:rsid w:val="204852AD"/>
    <w:rsid w:val="204E6676"/>
    <w:rsid w:val="205A5AA0"/>
    <w:rsid w:val="20683FD3"/>
    <w:rsid w:val="20773A28"/>
    <w:rsid w:val="208574F4"/>
    <w:rsid w:val="208E0979"/>
    <w:rsid w:val="208F6BAF"/>
    <w:rsid w:val="209C24BD"/>
    <w:rsid w:val="20A11517"/>
    <w:rsid w:val="20A462BA"/>
    <w:rsid w:val="20A976E7"/>
    <w:rsid w:val="20AC3A00"/>
    <w:rsid w:val="20AC7E9E"/>
    <w:rsid w:val="20BB50D0"/>
    <w:rsid w:val="20BF2AAC"/>
    <w:rsid w:val="20C849C7"/>
    <w:rsid w:val="20D07F44"/>
    <w:rsid w:val="20D506EC"/>
    <w:rsid w:val="20DF66D2"/>
    <w:rsid w:val="20EC3F2E"/>
    <w:rsid w:val="20EC7C3E"/>
    <w:rsid w:val="210548E9"/>
    <w:rsid w:val="2107210D"/>
    <w:rsid w:val="21124D15"/>
    <w:rsid w:val="21155E4F"/>
    <w:rsid w:val="213655F4"/>
    <w:rsid w:val="213A0410"/>
    <w:rsid w:val="213E2CCB"/>
    <w:rsid w:val="213E7119"/>
    <w:rsid w:val="21810744"/>
    <w:rsid w:val="218670C8"/>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4295D"/>
    <w:rsid w:val="22454449"/>
    <w:rsid w:val="22500810"/>
    <w:rsid w:val="226347BD"/>
    <w:rsid w:val="22637127"/>
    <w:rsid w:val="22682935"/>
    <w:rsid w:val="226F564C"/>
    <w:rsid w:val="22714CE9"/>
    <w:rsid w:val="227C7BE1"/>
    <w:rsid w:val="228A4698"/>
    <w:rsid w:val="228D7F55"/>
    <w:rsid w:val="22945167"/>
    <w:rsid w:val="22A55CD5"/>
    <w:rsid w:val="22BA3038"/>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352C9"/>
    <w:rsid w:val="2316334C"/>
    <w:rsid w:val="233C6F76"/>
    <w:rsid w:val="2341526C"/>
    <w:rsid w:val="234165E7"/>
    <w:rsid w:val="234449F5"/>
    <w:rsid w:val="234A29B4"/>
    <w:rsid w:val="23536618"/>
    <w:rsid w:val="237D3B26"/>
    <w:rsid w:val="23816932"/>
    <w:rsid w:val="23991706"/>
    <w:rsid w:val="23A22D26"/>
    <w:rsid w:val="23A9484E"/>
    <w:rsid w:val="23B32F98"/>
    <w:rsid w:val="23B84268"/>
    <w:rsid w:val="23CF38CC"/>
    <w:rsid w:val="23D03C50"/>
    <w:rsid w:val="23D17D7B"/>
    <w:rsid w:val="23D36D91"/>
    <w:rsid w:val="23DA5FA8"/>
    <w:rsid w:val="23EA25D3"/>
    <w:rsid w:val="23F53B0C"/>
    <w:rsid w:val="23F70BA5"/>
    <w:rsid w:val="23F93D0D"/>
    <w:rsid w:val="2405417E"/>
    <w:rsid w:val="241B5C62"/>
    <w:rsid w:val="242239E6"/>
    <w:rsid w:val="2441618A"/>
    <w:rsid w:val="245872F9"/>
    <w:rsid w:val="245943D9"/>
    <w:rsid w:val="245D2237"/>
    <w:rsid w:val="245E6B64"/>
    <w:rsid w:val="2463385E"/>
    <w:rsid w:val="246855B2"/>
    <w:rsid w:val="247E79CD"/>
    <w:rsid w:val="247F0848"/>
    <w:rsid w:val="248A1E01"/>
    <w:rsid w:val="24967323"/>
    <w:rsid w:val="249D5FC8"/>
    <w:rsid w:val="24A1538E"/>
    <w:rsid w:val="24B9450F"/>
    <w:rsid w:val="24C7366C"/>
    <w:rsid w:val="24C83F94"/>
    <w:rsid w:val="24D706EC"/>
    <w:rsid w:val="24E02810"/>
    <w:rsid w:val="24F01743"/>
    <w:rsid w:val="24F60CDA"/>
    <w:rsid w:val="24FE1078"/>
    <w:rsid w:val="250B4793"/>
    <w:rsid w:val="250D1C69"/>
    <w:rsid w:val="250D450C"/>
    <w:rsid w:val="25134332"/>
    <w:rsid w:val="25141A5B"/>
    <w:rsid w:val="2521546A"/>
    <w:rsid w:val="25225B0E"/>
    <w:rsid w:val="252B49E0"/>
    <w:rsid w:val="253B247A"/>
    <w:rsid w:val="255A0E55"/>
    <w:rsid w:val="256A0DFC"/>
    <w:rsid w:val="256C23F4"/>
    <w:rsid w:val="25734B61"/>
    <w:rsid w:val="257B46DF"/>
    <w:rsid w:val="257F0513"/>
    <w:rsid w:val="258F6BC4"/>
    <w:rsid w:val="25975923"/>
    <w:rsid w:val="259A3D0A"/>
    <w:rsid w:val="25A95F3E"/>
    <w:rsid w:val="25BF6041"/>
    <w:rsid w:val="25C35718"/>
    <w:rsid w:val="25C61809"/>
    <w:rsid w:val="25CE3392"/>
    <w:rsid w:val="25CF0252"/>
    <w:rsid w:val="25D0248E"/>
    <w:rsid w:val="25D52D1D"/>
    <w:rsid w:val="25F81D70"/>
    <w:rsid w:val="25FB5636"/>
    <w:rsid w:val="25FE58A9"/>
    <w:rsid w:val="26063582"/>
    <w:rsid w:val="26070462"/>
    <w:rsid w:val="260D2C45"/>
    <w:rsid w:val="26197DFF"/>
    <w:rsid w:val="262F0AD0"/>
    <w:rsid w:val="26395C92"/>
    <w:rsid w:val="263F23CC"/>
    <w:rsid w:val="26484954"/>
    <w:rsid w:val="266237C3"/>
    <w:rsid w:val="267550B9"/>
    <w:rsid w:val="267A4B30"/>
    <w:rsid w:val="26A22471"/>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B87290"/>
    <w:rsid w:val="27C57B2B"/>
    <w:rsid w:val="27C8029E"/>
    <w:rsid w:val="27CC78AC"/>
    <w:rsid w:val="27CE1EA1"/>
    <w:rsid w:val="27D5047E"/>
    <w:rsid w:val="27DD45ED"/>
    <w:rsid w:val="27E3651B"/>
    <w:rsid w:val="27EC25E3"/>
    <w:rsid w:val="27ED0939"/>
    <w:rsid w:val="27F1498B"/>
    <w:rsid w:val="28027A71"/>
    <w:rsid w:val="28167DD4"/>
    <w:rsid w:val="281F4F67"/>
    <w:rsid w:val="283744B4"/>
    <w:rsid w:val="28485D62"/>
    <w:rsid w:val="285560D7"/>
    <w:rsid w:val="28702E80"/>
    <w:rsid w:val="28760CA0"/>
    <w:rsid w:val="288A05DD"/>
    <w:rsid w:val="28937D89"/>
    <w:rsid w:val="28C96C14"/>
    <w:rsid w:val="28D72411"/>
    <w:rsid w:val="28E138E3"/>
    <w:rsid w:val="28E25FF0"/>
    <w:rsid w:val="28E74216"/>
    <w:rsid w:val="28E87EE4"/>
    <w:rsid w:val="28ED5A4E"/>
    <w:rsid w:val="2903396A"/>
    <w:rsid w:val="29212936"/>
    <w:rsid w:val="29230436"/>
    <w:rsid w:val="2924481F"/>
    <w:rsid w:val="294E766A"/>
    <w:rsid w:val="294F506D"/>
    <w:rsid w:val="295F09EE"/>
    <w:rsid w:val="296A6E2B"/>
    <w:rsid w:val="2978319A"/>
    <w:rsid w:val="297A3E18"/>
    <w:rsid w:val="29974A4D"/>
    <w:rsid w:val="29A3014B"/>
    <w:rsid w:val="29A74CBD"/>
    <w:rsid w:val="29B01C34"/>
    <w:rsid w:val="29B16357"/>
    <w:rsid w:val="29BA0D88"/>
    <w:rsid w:val="29CF32B2"/>
    <w:rsid w:val="29DE15A2"/>
    <w:rsid w:val="29EF3680"/>
    <w:rsid w:val="29EF424E"/>
    <w:rsid w:val="29F93F5E"/>
    <w:rsid w:val="29FA7F26"/>
    <w:rsid w:val="29FD07C3"/>
    <w:rsid w:val="2A35650F"/>
    <w:rsid w:val="2A3732D1"/>
    <w:rsid w:val="2A405845"/>
    <w:rsid w:val="2A4D593F"/>
    <w:rsid w:val="2A5645FE"/>
    <w:rsid w:val="2A6920F5"/>
    <w:rsid w:val="2A6E31F8"/>
    <w:rsid w:val="2A8A2F9C"/>
    <w:rsid w:val="2A991215"/>
    <w:rsid w:val="2A9A0A02"/>
    <w:rsid w:val="2AA077A9"/>
    <w:rsid w:val="2AA95326"/>
    <w:rsid w:val="2AAC5A06"/>
    <w:rsid w:val="2ABB3D6F"/>
    <w:rsid w:val="2AC70B30"/>
    <w:rsid w:val="2ACC2AAF"/>
    <w:rsid w:val="2AD74744"/>
    <w:rsid w:val="2AD91AC2"/>
    <w:rsid w:val="2AE57C95"/>
    <w:rsid w:val="2AF35C8B"/>
    <w:rsid w:val="2AF90171"/>
    <w:rsid w:val="2B0279D1"/>
    <w:rsid w:val="2B070BC0"/>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BFD7DB0"/>
    <w:rsid w:val="2C094904"/>
    <w:rsid w:val="2C0E55A1"/>
    <w:rsid w:val="2C3658B0"/>
    <w:rsid w:val="2C3A7BF6"/>
    <w:rsid w:val="2C425BCE"/>
    <w:rsid w:val="2C44676A"/>
    <w:rsid w:val="2C4605C2"/>
    <w:rsid w:val="2C4A080C"/>
    <w:rsid w:val="2C54533B"/>
    <w:rsid w:val="2C591378"/>
    <w:rsid w:val="2C733DF1"/>
    <w:rsid w:val="2C8F4862"/>
    <w:rsid w:val="2C993DF6"/>
    <w:rsid w:val="2C9E5AC8"/>
    <w:rsid w:val="2CA23C0B"/>
    <w:rsid w:val="2CA2721B"/>
    <w:rsid w:val="2CB600FC"/>
    <w:rsid w:val="2D026315"/>
    <w:rsid w:val="2D0764BD"/>
    <w:rsid w:val="2D0B3169"/>
    <w:rsid w:val="2D0D4219"/>
    <w:rsid w:val="2D104AB0"/>
    <w:rsid w:val="2D1F2D4D"/>
    <w:rsid w:val="2D2D2DE2"/>
    <w:rsid w:val="2D340E86"/>
    <w:rsid w:val="2D395427"/>
    <w:rsid w:val="2D3D0E02"/>
    <w:rsid w:val="2D3D5AFF"/>
    <w:rsid w:val="2D495609"/>
    <w:rsid w:val="2D512A6F"/>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62B33"/>
    <w:rsid w:val="2DDD4F0A"/>
    <w:rsid w:val="2DF37ABF"/>
    <w:rsid w:val="2DF95234"/>
    <w:rsid w:val="2DFD2710"/>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8346B"/>
    <w:rsid w:val="2E9F6D95"/>
    <w:rsid w:val="2EAD2208"/>
    <w:rsid w:val="2EAE350B"/>
    <w:rsid w:val="2EB20A6C"/>
    <w:rsid w:val="2EBC2287"/>
    <w:rsid w:val="2ECA3116"/>
    <w:rsid w:val="2ED2618A"/>
    <w:rsid w:val="2EDD7896"/>
    <w:rsid w:val="2EEA6E65"/>
    <w:rsid w:val="2EFA17E9"/>
    <w:rsid w:val="2F00052B"/>
    <w:rsid w:val="2F016CF6"/>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176BD"/>
    <w:rsid w:val="30130869"/>
    <w:rsid w:val="301A71CE"/>
    <w:rsid w:val="301E049B"/>
    <w:rsid w:val="302A4BE6"/>
    <w:rsid w:val="30307691"/>
    <w:rsid w:val="303867AA"/>
    <w:rsid w:val="304376ED"/>
    <w:rsid w:val="304478EC"/>
    <w:rsid w:val="30477603"/>
    <w:rsid w:val="30761B12"/>
    <w:rsid w:val="308D16EC"/>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AF3F03"/>
    <w:rsid w:val="31B718F2"/>
    <w:rsid w:val="31BD323E"/>
    <w:rsid w:val="31C53002"/>
    <w:rsid w:val="31D20051"/>
    <w:rsid w:val="31EF7EE8"/>
    <w:rsid w:val="31F265A5"/>
    <w:rsid w:val="31F70D0A"/>
    <w:rsid w:val="3201404F"/>
    <w:rsid w:val="320901F5"/>
    <w:rsid w:val="320B7CCB"/>
    <w:rsid w:val="32105DE8"/>
    <w:rsid w:val="32190CAA"/>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3D5882"/>
    <w:rsid w:val="334F1B54"/>
    <w:rsid w:val="33540E5D"/>
    <w:rsid w:val="335A0521"/>
    <w:rsid w:val="335E7B11"/>
    <w:rsid w:val="3364318B"/>
    <w:rsid w:val="33691888"/>
    <w:rsid w:val="336A499A"/>
    <w:rsid w:val="33714830"/>
    <w:rsid w:val="33737F51"/>
    <w:rsid w:val="337964FF"/>
    <w:rsid w:val="337D34FB"/>
    <w:rsid w:val="338A0D6A"/>
    <w:rsid w:val="3391740A"/>
    <w:rsid w:val="33BF4199"/>
    <w:rsid w:val="33CF2B0E"/>
    <w:rsid w:val="33FE62E7"/>
    <w:rsid w:val="340D25F6"/>
    <w:rsid w:val="34172EFD"/>
    <w:rsid w:val="342B76C7"/>
    <w:rsid w:val="343A1527"/>
    <w:rsid w:val="343C69D1"/>
    <w:rsid w:val="34447898"/>
    <w:rsid w:val="344E62FA"/>
    <w:rsid w:val="3472234D"/>
    <w:rsid w:val="34777AA4"/>
    <w:rsid w:val="347D500F"/>
    <w:rsid w:val="34830157"/>
    <w:rsid w:val="34872D27"/>
    <w:rsid w:val="349164BD"/>
    <w:rsid w:val="34BD02AE"/>
    <w:rsid w:val="34DA26A8"/>
    <w:rsid w:val="34E43AD1"/>
    <w:rsid w:val="34E960F1"/>
    <w:rsid w:val="34ED6696"/>
    <w:rsid w:val="350B42D5"/>
    <w:rsid w:val="350F6258"/>
    <w:rsid w:val="351A603C"/>
    <w:rsid w:val="352821F6"/>
    <w:rsid w:val="352B4FC9"/>
    <w:rsid w:val="35387F19"/>
    <w:rsid w:val="3539550B"/>
    <w:rsid w:val="353C7CFC"/>
    <w:rsid w:val="356678B4"/>
    <w:rsid w:val="3573649F"/>
    <w:rsid w:val="357E4B0A"/>
    <w:rsid w:val="35866D7F"/>
    <w:rsid w:val="358950B3"/>
    <w:rsid w:val="358F6BDF"/>
    <w:rsid w:val="35A26D98"/>
    <w:rsid w:val="35C06D50"/>
    <w:rsid w:val="35D2059C"/>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47751"/>
    <w:rsid w:val="36D51D00"/>
    <w:rsid w:val="36D66B5E"/>
    <w:rsid w:val="36E93760"/>
    <w:rsid w:val="36FB4305"/>
    <w:rsid w:val="3708597F"/>
    <w:rsid w:val="37096815"/>
    <w:rsid w:val="370F7060"/>
    <w:rsid w:val="37134801"/>
    <w:rsid w:val="37150C16"/>
    <w:rsid w:val="37173233"/>
    <w:rsid w:val="37226558"/>
    <w:rsid w:val="37305FF2"/>
    <w:rsid w:val="3734159D"/>
    <w:rsid w:val="37382526"/>
    <w:rsid w:val="374E78C1"/>
    <w:rsid w:val="37520C43"/>
    <w:rsid w:val="3758590A"/>
    <w:rsid w:val="37602E60"/>
    <w:rsid w:val="377852C0"/>
    <w:rsid w:val="378229A7"/>
    <w:rsid w:val="3784394E"/>
    <w:rsid w:val="37987437"/>
    <w:rsid w:val="37AE32BE"/>
    <w:rsid w:val="37C94031"/>
    <w:rsid w:val="37CA042E"/>
    <w:rsid w:val="37D44549"/>
    <w:rsid w:val="37D77B09"/>
    <w:rsid w:val="37D97EDE"/>
    <w:rsid w:val="37DA45C2"/>
    <w:rsid w:val="37DF3A13"/>
    <w:rsid w:val="37E82930"/>
    <w:rsid w:val="37EC0EEC"/>
    <w:rsid w:val="381902FC"/>
    <w:rsid w:val="381F218D"/>
    <w:rsid w:val="382B1BDF"/>
    <w:rsid w:val="382E392C"/>
    <w:rsid w:val="383024D3"/>
    <w:rsid w:val="38342E90"/>
    <w:rsid w:val="38402F80"/>
    <w:rsid w:val="384A24FB"/>
    <w:rsid w:val="384B7332"/>
    <w:rsid w:val="385056AF"/>
    <w:rsid w:val="38706DCB"/>
    <w:rsid w:val="38740FF0"/>
    <w:rsid w:val="388E5848"/>
    <w:rsid w:val="38A94D18"/>
    <w:rsid w:val="38BD31EE"/>
    <w:rsid w:val="38CB3BDF"/>
    <w:rsid w:val="38D33D29"/>
    <w:rsid w:val="38E40A5B"/>
    <w:rsid w:val="3919609B"/>
    <w:rsid w:val="39285D57"/>
    <w:rsid w:val="39372A0B"/>
    <w:rsid w:val="394B6470"/>
    <w:rsid w:val="3953321D"/>
    <w:rsid w:val="39860592"/>
    <w:rsid w:val="39872512"/>
    <w:rsid w:val="39931A05"/>
    <w:rsid w:val="39A2099B"/>
    <w:rsid w:val="39A602F9"/>
    <w:rsid w:val="39BD45C8"/>
    <w:rsid w:val="39C2316A"/>
    <w:rsid w:val="39C45D41"/>
    <w:rsid w:val="39D7513A"/>
    <w:rsid w:val="39DE0CD3"/>
    <w:rsid w:val="39F36281"/>
    <w:rsid w:val="39F537D5"/>
    <w:rsid w:val="39F56CC2"/>
    <w:rsid w:val="39FD376D"/>
    <w:rsid w:val="39FD6C9C"/>
    <w:rsid w:val="3A0224B9"/>
    <w:rsid w:val="3A071002"/>
    <w:rsid w:val="3A156E39"/>
    <w:rsid w:val="3A16794C"/>
    <w:rsid w:val="3A226969"/>
    <w:rsid w:val="3A3F47CE"/>
    <w:rsid w:val="3A454E26"/>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457E2C"/>
    <w:rsid w:val="3B540533"/>
    <w:rsid w:val="3B5A2A22"/>
    <w:rsid w:val="3B70246F"/>
    <w:rsid w:val="3B772B7F"/>
    <w:rsid w:val="3B7804A3"/>
    <w:rsid w:val="3B8E2153"/>
    <w:rsid w:val="3BA03B83"/>
    <w:rsid w:val="3BB20883"/>
    <w:rsid w:val="3BC34E75"/>
    <w:rsid w:val="3BCB270F"/>
    <w:rsid w:val="3BCF7E47"/>
    <w:rsid w:val="3BD96AA6"/>
    <w:rsid w:val="3BE940D8"/>
    <w:rsid w:val="3BEB6FD3"/>
    <w:rsid w:val="3C0429BF"/>
    <w:rsid w:val="3C1A201A"/>
    <w:rsid w:val="3C371D4B"/>
    <w:rsid w:val="3C3B4B9D"/>
    <w:rsid w:val="3C413C82"/>
    <w:rsid w:val="3C471C36"/>
    <w:rsid w:val="3C5A6B66"/>
    <w:rsid w:val="3C5D215A"/>
    <w:rsid w:val="3C734413"/>
    <w:rsid w:val="3C872CDC"/>
    <w:rsid w:val="3C8E50A1"/>
    <w:rsid w:val="3C982C18"/>
    <w:rsid w:val="3CA734F8"/>
    <w:rsid w:val="3CC74223"/>
    <w:rsid w:val="3CC828D0"/>
    <w:rsid w:val="3CDB5F96"/>
    <w:rsid w:val="3CE23F49"/>
    <w:rsid w:val="3CEC39B8"/>
    <w:rsid w:val="3CF720E3"/>
    <w:rsid w:val="3CF72D6A"/>
    <w:rsid w:val="3CF86D06"/>
    <w:rsid w:val="3D00620E"/>
    <w:rsid w:val="3D035226"/>
    <w:rsid w:val="3D145DC3"/>
    <w:rsid w:val="3D1F1459"/>
    <w:rsid w:val="3D316CDB"/>
    <w:rsid w:val="3D3679ED"/>
    <w:rsid w:val="3D3D6BBD"/>
    <w:rsid w:val="3D450F8C"/>
    <w:rsid w:val="3D477118"/>
    <w:rsid w:val="3D594E54"/>
    <w:rsid w:val="3D62706F"/>
    <w:rsid w:val="3D6E2272"/>
    <w:rsid w:val="3D6E5ED6"/>
    <w:rsid w:val="3D766DBD"/>
    <w:rsid w:val="3D7B6A6D"/>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87C66"/>
    <w:rsid w:val="3E6C43C8"/>
    <w:rsid w:val="3E8227F0"/>
    <w:rsid w:val="3E9B4B40"/>
    <w:rsid w:val="3EB53953"/>
    <w:rsid w:val="3EB71AC8"/>
    <w:rsid w:val="3EC85E34"/>
    <w:rsid w:val="3ED0424C"/>
    <w:rsid w:val="3EE71542"/>
    <w:rsid w:val="3EF31E7F"/>
    <w:rsid w:val="3EF36DF0"/>
    <w:rsid w:val="3EFA08FC"/>
    <w:rsid w:val="3F053EF6"/>
    <w:rsid w:val="3F093188"/>
    <w:rsid w:val="3F173F6B"/>
    <w:rsid w:val="3F1C3BED"/>
    <w:rsid w:val="3F1E1DE8"/>
    <w:rsid w:val="3F2244AD"/>
    <w:rsid w:val="3F253B0C"/>
    <w:rsid w:val="3F2C04C4"/>
    <w:rsid w:val="3F3E7C9F"/>
    <w:rsid w:val="3F3F67EC"/>
    <w:rsid w:val="3F416B99"/>
    <w:rsid w:val="3F4E2B7B"/>
    <w:rsid w:val="3F4F5AD7"/>
    <w:rsid w:val="3F5D0DD6"/>
    <w:rsid w:val="3F5E737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3FFE2EDB"/>
    <w:rsid w:val="40007A90"/>
    <w:rsid w:val="400B001F"/>
    <w:rsid w:val="40146E6B"/>
    <w:rsid w:val="401D46D5"/>
    <w:rsid w:val="40225A46"/>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64871"/>
    <w:rsid w:val="40FD1BF0"/>
    <w:rsid w:val="41096BC0"/>
    <w:rsid w:val="410A75B6"/>
    <w:rsid w:val="410B452A"/>
    <w:rsid w:val="413353F1"/>
    <w:rsid w:val="414F3F68"/>
    <w:rsid w:val="41513BC9"/>
    <w:rsid w:val="41735B7F"/>
    <w:rsid w:val="41854814"/>
    <w:rsid w:val="41D574BC"/>
    <w:rsid w:val="41D75714"/>
    <w:rsid w:val="41D95EE3"/>
    <w:rsid w:val="41DD3BC3"/>
    <w:rsid w:val="41EE2F03"/>
    <w:rsid w:val="41F466FD"/>
    <w:rsid w:val="42002BC7"/>
    <w:rsid w:val="42026B03"/>
    <w:rsid w:val="420D197F"/>
    <w:rsid w:val="421316FC"/>
    <w:rsid w:val="42187EBE"/>
    <w:rsid w:val="421C3DAC"/>
    <w:rsid w:val="4227435A"/>
    <w:rsid w:val="4229039A"/>
    <w:rsid w:val="42393F21"/>
    <w:rsid w:val="42430F44"/>
    <w:rsid w:val="424B5824"/>
    <w:rsid w:val="42610528"/>
    <w:rsid w:val="42655B81"/>
    <w:rsid w:val="426973AD"/>
    <w:rsid w:val="427A67A1"/>
    <w:rsid w:val="427C23A2"/>
    <w:rsid w:val="427E0B36"/>
    <w:rsid w:val="42895E35"/>
    <w:rsid w:val="429C1193"/>
    <w:rsid w:val="42A03D98"/>
    <w:rsid w:val="42B2706C"/>
    <w:rsid w:val="42B47F7E"/>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13BB4"/>
    <w:rsid w:val="437556C4"/>
    <w:rsid w:val="437C3AD0"/>
    <w:rsid w:val="43874CD4"/>
    <w:rsid w:val="43AF2D32"/>
    <w:rsid w:val="43B76E4F"/>
    <w:rsid w:val="43CF0206"/>
    <w:rsid w:val="43D235C5"/>
    <w:rsid w:val="43D85D6D"/>
    <w:rsid w:val="43EC6F1F"/>
    <w:rsid w:val="43F56024"/>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46D2"/>
    <w:rsid w:val="44957F46"/>
    <w:rsid w:val="44976EDA"/>
    <w:rsid w:val="44994CF5"/>
    <w:rsid w:val="449A491B"/>
    <w:rsid w:val="44A24696"/>
    <w:rsid w:val="44CD5F97"/>
    <w:rsid w:val="44DC46EB"/>
    <w:rsid w:val="44E55C50"/>
    <w:rsid w:val="44F03F8F"/>
    <w:rsid w:val="44F14ECF"/>
    <w:rsid w:val="450329DB"/>
    <w:rsid w:val="450D34CE"/>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2A2AA8"/>
    <w:rsid w:val="463246EC"/>
    <w:rsid w:val="463A3547"/>
    <w:rsid w:val="46427647"/>
    <w:rsid w:val="46555DC3"/>
    <w:rsid w:val="46617DB2"/>
    <w:rsid w:val="46621065"/>
    <w:rsid w:val="46665198"/>
    <w:rsid w:val="46697236"/>
    <w:rsid w:val="466C2618"/>
    <w:rsid w:val="4671594A"/>
    <w:rsid w:val="46770F8B"/>
    <w:rsid w:val="467745A2"/>
    <w:rsid w:val="467C16FA"/>
    <w:rsid w:val="46894B18"/>
    <w:rsid w:val="469448C6"/>
    <w:rsid w:val="469F39B5"/>
    <w:rsid w:val="46A232B5"/>
    <w:rsid w:val="46A50B23"/>
    <w:rsid w:val="46B80AF8"/>
    <w:rsid w:val="46C86568"/>
    <w:rsid w:val="46D37F0B"/>
    <w:rsid w:val="46D71533"/>
    <w:rsid w:val="46E53335"/>
    <w:rsid w:val="46E5770C"/>
    <w:rsid w:val="46ED6FB1"/>
    <w:rsid w:val="47040E98"/>
    <w:rsid w:val="470A337F"/>
    <w:rsid w:val="47155D89"/>
    <w:rsid w:val="47253C54"/>
    <w:rsid w:val="473069AF"/>
    <w:rsid w:val="473672E7"/>
    <w:rsid w:val="473F2E3A"/>
    <w:rsid w:val="474A0EAF"/>
    <w:rsid w:val="474E50BE"/>
    <w:rsid w:val="4760754E"/>
    <w:rsid w:val="47696F9C"/>
    <w:rsid w:val="47725A17"/>
    <w:rsid w:val="477D3243"/>
    <w:rsid w:val="478821A1"/>
    <w:rsid w:val="478837D2"/>
    <w:rsid w:val="478F6EF7"/>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5413C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08545F"/>
    <w:rsid w:val="490F7D48"/>
    <w:rsid w:val="491B63DF"/>
    <w:rsid w:val="491D63E9"/>
    <w:rsid w:val="492A068A"/>
    <w:rsid w:val="4932285C"/>
    <w:rsid w:val="493551FE"/>
    <w:rsid w:val="493E2F78"/>
    <w:rsid w:val="495217DF"/>
    <w:rsid w:val="4958367A"/>
    <w:rsid w:val="498A16CD"/>
    <w:rsid w:val="49A33C27"/>
    <w:rsid w:val="49A750B5"/>
    <w:rsid w:val="49BE07DA"/>
    <w:rsid w:val="49C14B09"/>
    <w:rsid w:val="49C2238E"/>
    <w:rsid w:val="49C84AA0"/>
    <w:rsid w:val="49D7694D"/>
    <w:rsid w:val="49EE57A8"/>
    <w:rsid w:val="4A0244D3"/>
    <w:rsid w:val="4A1E6850"/>
    <w:rsid w:val="4A255046"/>
    <w:rsid w:val="4A28799C"/>
    <w:rsid w:val="4A2E1525"/>
    <w:rsid w:val="4A3E43AB"/>
    <w:rsid w:val="4A4F73F7"/>
    <w:rsid w:val="4A5A2744"/>
    <w:rsid w:val="4A5A756D"/>
    <w:rsid w:val="4A785772"/>
    <w:rsid w:val="4A7B5051"/>
    <w:rsid w:val="4A81655F"/>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32706E"/>
    <w:rsid w:val="4B383178"/>
    <w:rsid w:val="4B622359"/>
    <w:rsid w:val="4B6745FE"/>
    <w:rsid w:val="4B7C4100"/>
    <w:rsid w:val="4B7C595F"/>
    <w:rsid w:val="4B830F9B"/>
    <w:rsid w:val="4B99714A"/>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703177"/>
    <w:rsid w:val="4C923A72"/>
    <w:rsid w:val="4CB96B0F"/>
    <w:rsid w:val="4CCC772F"/>
    <w:rsid w:val="4CD315DD"/>
    <w:rsid w:val="4CDE1A81"/>
    <w:rsid w:val="4CE34E9F"/>
    <w:rsid w:val="4CE3798F"/>
    <w:rsid w:val="4CF52D94"/>
    <w:rsid w:val="4D0A71DE"/>
    <w:rsid w:val="4D131782"/>
    <w:rsid w:val="4D183A0B"/>
    <w:rsid w:val="4D2B086E"/>
    <w:rsid w:val="4D3520AA"/>
    <w:rsid w:val="4D462159"/>
    <w:rsid w:val="4D465FB7"/>
    <w:rsid w:val="4D493467"/>
    <w:rsid w:val="4D566017"/>
    <w:rsid w:val="4D613CEC"/>
    <w:rsid w:val="4D7D3EFB"/>
    <w:rsid w:val="4D8B0123"/>
    <w:rsid w:val="4DAE1E25"/>
    <w:rsid w:val="4DAF14C5"/>
    <w:rsid w:val="4DB9067A"/>
    <w:rsid w:val="4DBA4F8F"/>
    <w:rsid w:val="4DC605B6"/>
    <w:rsid w:val="4DCA0533"/>
    <w:rsid w:val="4DD732D2"/>
    <w:rsid w:val="4DDD4847"/>
    <w:rsid w:val="4DE6535D"/>
    <w:rsid w:val="4DE82D2A"/>
    <w:rsid w:val="4DEC0985"/>
    <w:rsid w:val="4DEC4CE8"/>
    <w:rsid w:val="4E0538A3"/>
    <w:rsid w:val="4E0E6818"/>
    <w:rsid w:val="4E0F5ACD"/>
    <w:rsid w:val="4E27683A"/>
    <w:rsid w:val="4E354DF5"/>
    <w:rsid w:val="4E4C50A3"/>
    <w:rsid w:val="4E510698"/>
    <w:rsid w:val="4E576363"/>
    <w:rsid w:val="4E58422F"/>
    <w:rsid w:val="4E635567"/>
    <w:rsid w:val="4E63744A"/>
    <w:rsid w:val="4E642C68"/>
    <w:rsid w:val="4E742982"/>
    <w:rsid w:val="4E9C0636"/>
    <w:rsid w:val="4EA30DB6"/>
    <w:rsid w:val="4EA7341F"/>
    <w:rsid w:val="4EDB58B2"/>
    <w:rsid w:val="4EE925CE"/>
    <w:rsid w:val="4EEF2E30"/>
    <w:rsid w:val="4EF24828"/>
    <w:rsid w:val="4EFE7F59"/>
    <w:rsid w:val="4F016DF9"/>
    <w:rsid w:val="4F167C4E"/>
    <w:rsid w:val="4F285975"/>
    <w:rsid w:val="4F2A7BF3"/>
    <w:rsid w:val="4F2E2624"/>
    <w:rsid w:val="4F373A05"/>
    <w:rsid w:val="4F4E1077"/>
    <w:rsid w:val="4F52614B"/>
    <w:rsid w:val="4F546156"/>
    <w:rsid w:val="4F671A09"/>
    <w:rsid w:val="4F775B7D"/>
    <w:rsid w:val="4F844A99"/>
    <w:rsid w:val="4F94662C"/>
    <w:rsid w:val="4FAB2D34"/>
    <w:rsid w:val="4FB00163"/>
    <w:rsid w:val="4FB208E7"/>
    <w:rsid w:val="4FD11690"/>
    <w:rsid w:val="4FE30332"/>
    <w:rsid w:val="4FE70BB4"/>
    <w:rsid w:val="4FE73C01"/>
    <w:rsid w:val="4FE87C31"/>
    <w:rsid w:val="4FE95A27"/>
    <w:rsid w:val="50051807"/>
    <w:rsid w:val="500815B6"/>
    <w:rsid w:val="500B39BC"/>
    <w:rsid w:val="5022123F"/>
    <w:rsid w:val="5027330E"/>
    <w:rsid w:val="502B7315"/>
    <w:rsid w:val="503F32CF"/>
    <w:rsid w:val="5041152A"/>
    <w:rsid w:val="50421ACF"/>
    <w:rsid w:val="5042655E"/>
    <w:rsid w:val="505C5D66"/>
    <w:rsid w:val="50767153"/>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F60DC"/>
    <w:rsid w:val="51230220"/>
    <w:rsid w:val="512C57DC"/>
    <w:rsid w:val="513C7253"/>
    <w:rsid w:val="51471753"/>
    <w:rsid w:val="514E1B57"/>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1E57A85"/>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57444A"/>
    <w:rsid w:val="53650168"/>
    <w:rsid w:val="536C2A29"/>
    <w:rsid w:val="53766D1C"/>
    <w:rsid w:val="537C6AAF"/>
    <w:rsid w:val="53836AFA"/>
    <w:rsid w:val="538859E4"/>
    <w:rsid w:val="53946CBC"/>
    <w:rsid w:val="53A20FFA"/>
    <w:rsid w:val="53A233E4"/>
    <w:rsid w:val="53A94C48"/>
    <w:rsid w:val="53AA7BC7"/>
    <w:rsid w:val="53AE5EA5"/>
    <w:rsid w:val="53B00B1F"/>
    <w:rsid w:val="53B2409D"/>
    <w:rsid w:val="53BD6FA3"/>
    <w:rsid w:val="53D6247A"/>
    <w:rsid w:val="53DB3477"/>
    <w:rsid w:val="53E77CBF"/>
    <w:rsid w:val="53EF5107"/>
    <w:rsid w:val="53FE7128"/>
    <w:rsid w:val="541A54A7"/>
    <w:rsid w:val="54247F22"/>
    <w:rsid w:val="542C29CD"/>
    <w:rsid w:val="542F1551"/>
    <w:rsid w:val="543547EF"/>
    <w:rsid w:val="54381756"/>
    <w:rsid w:val="543A1843"/>
    <w:rsid w:val="54596DB5"/>
    <w:rsid w:val="545A1EBF"/>
    <w:rsid w:val="54717CCC"/>
    <w:rsid w:val="54727478"/>
    <w:rsid w:val="54B06F11"/>
    <w:rsid w:val="54B56DF4"/>
    <w:rsid w:val="54B93943"/>
    <w:rsid w:val="54BE5578"/>
    <w:rsid w:val="54BF52B5"/>
    <w:rsid w:val="54CD4F1D"/>
    <w:rsid w:val="54D202CA"/>
    <w:rsid w:val="54D54E59"/>
    <w:rsid w:val="54DD41DB"/>
    <w:rsid w:val="54E43C38"/>
    <w:rsid w:val="54ED3D78"/>
    <w:rsid w:val="54F02D69"/>
    <w:rsid w:val="54F52BA3"/>
    <w:rsid w:val="54F54E04"/>
    <w:rsid w:val="550B4121"/>
    <w:rsid w:val="550D5CFC"/>
    <w:rsid w:val="55197997"/>
    <w:rsid w:val="551B356A"/>
    <w:rsid w:val="551E7C84"/>
    <w:rsid w:val="5529240B"/>
    <w:rsid w:val="552A6B56"/>
    <w:rsid w:val="5532385A"/>
    <w:rsid w:val="554748F2"/>
    <w:rsid w:val="554D414C"/>
    <w:rsid w:val="554E7279"/>
    <w:rsid w:val="55594FFB"/>
    <w:rsid w:val="555D2DFD"/>
    <w:rsid w:val="55637CEB"/>
    <w:rsid w:val="55716C7A"/>
    <w:rsid w:val="55757FB9"/>
    <w:rsid w:val="55826059"/>
    <w:rsid w:val="55884237"/>
    <w:rsid w:val="558C7FAA"/>
    <w:rsid w:val="558E44FF"/>
    <w:rsid w:val="559C353C"/>
    <w:rsid w:val="55A25EB7"/>
    <w:rsid w:val="55A82784"/>
    <w:rsid w:val="55A97512"/>
    <w:rsid w:val="55B63FD5"/>
    <w:rsid w:val="55C35A76"/>
    <w:rsid w:val="55D40743"/>
    <w:rsid w:val="55DD6F2A"/>
    <w:rsid w:val="55E8339E"/>
    <w:rsid w:val="55E92876"/>
    <w:rsid w:val="55F06771"/>
    <w:rsid w:val="56013311"/>
    <w:rsid w:val="56106284"/>
    <w:rsid w:val="561F4465"/>
    <w:rsid w:val="562339AD"/>
    <w:rsid w:val="5632642A"/>
    <w:rsid w:val="56375B61"/>
    <w:rsid w:val="56462238"/>
    <w:rsid w:val="564944F4"/>
    <w:rsid w:val="564C7B44"/>
    <w:rsid w:val="564E5820"/>
    <w:rsid w:val="56630C00"/>
    <w:rsid w:val="567739D2"/>
    <w:rsid w:val="5686536D"/>
    <w:rsid w:val="568B1DB1"/>
    <w:rsid w:val="56A50404"/>
    <w:rsid w:val="56A55214"/>
    <w:rsid w:val="56A67978"/>
    <w:rsid w:val="56AC63C5"/>
    <w:rsid w:val="56B61F71"/>
    <w:rsid w:val="56C1700B"/>
    <w:rsid w:val="56D25618"/>
    <w:rsid w:val="56E84A97"/>
    <w:rsid w:val="57011F3E"/>
    <w:rsid w:val="5705646B"/>
    <w:rsid w:val="57060649"/>
    <w:rsid w:val="5732705F"/>
    <w:rsid w:val="5734308D"/>
    <w:rsid w:val="57351D6F"/>
    <w:rsid w:val="574842C2"/>
    <w:rsid w:val="5750195B"/>
    <w:rsid w:val="576476C1"/>
    <w:rsid w:val="577B3337"/>
    <w:rsid w:val="579857A6"/>
    <w:rsid w:val="579E7733"/>
    <w:rsid w:val="57A33734"/>
    <w:rsid w:val="57AB6ADD"/>
    <w:rsid w:val="57BD72A7"/>
    <w:rsid w:val="57BE5838"/>
    <w:rsid w:val="57C85610"/>
    <w:rsid w:val="57FC07D9"/>
    <w:rsid w:val="57FF6992"/>
    <w:rsid w:val="580F1B21"/>
    <w:rsid w:val="581B7E79"/>
    <w:rsid w:val="58224B40"/>
    <w:rsid w:val="582A1A99"/>
    <w:rsid w:val="58375356"/>
    <w:rsid w:val="58403228"/>
    <w:rsid w:val="584D5888"/>
    <w:rsid w:val="58500F22"/>
    <w:rsid w:val="58585DBA"/>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727B9A"/>
    <w:rsid w:val="59805264"/>
    <w:rsid w:val="5987482A"/>
    <w:rsid w:val="59904485"/>
    <w:rsid w:val="599C49A8"/>
    <w:rsid w:val="59A36725"/>
    <w:rsid w:val="59B21BF9"/>
    <w:rsid w:val="59BB4EA3"/>
    <w:rsid w:val="59D62D10"/>
    <w:rsid w:val="59E9525B"/>
    <w:rsid w:val="59ED369A"/>
    <w:rsid w:val="5A011A3B"/>
    <w:rsid w:val="5A312A5A"/>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5597B"/>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9463D"/>
    <w:rsid w:val="5C3B6CFC"/>
    <w:rsid w:val="5C4C2CF4"/>
    <w:rsid w:val="5C4C447D"/>
    <w:rsid w:val="5C510905"/>
    <w:rsid w:val="5C6B1600"/>
    <w:rsid w:val="5C6E7FA9"/>
    <w:rsid w:val="5C7D70D1"/>
    <w:rsid w:val="5C8542A8"/>
    <w:rsid w:val="5C875E04"/>
    <w:rsid w:val="5CA1479B"/>
    <w:rsid w:val="5CA42512"/>
    <w:rsid w:val="5CA6294E"/>
    <w:rsid w:val="5CB514F3"/>
    <w:rsid w:val="5CB60B44"/>
    <w:rsid w:val="5CC340BC"/>
    <w:rsid w:val="5CC85FC5"/>
    <w:rsid w:val="5CDB3358"/>
    <w:rsid w:val="5CED4E0C"/>
    <w:rsid w:val="5D034EE9"/>
    <w:rsid w:val="5D0366E8"/>
    <w:rsid w:val="5D044FED"/>
    <w:rsid w:val="5D0A06B6"/>
    <w:rsid w:val="5D1307E8"/>
    <w:rsid w:val="5D212A05"/>
    <w:rsid w:val="5D213B63"/>
    <w:rsid w:val="5D281324"/>
    <w:rsid w:val="5D2F4802"/>
    <w:rsid w:val="5D3444E6"/>
    <w:rsid w:val="5D3F0BDF"/>
    <w:rsid w:val="5D48142C"/>
    <w:rsid w:val="5D5B7098"/>
    <w:rsid w:val="5D634782"/>
    <w:rsid w:val="5D693F0E"/>
    <w:rsid w:val="5D6E1B86"/>
    <w:rsid w:val="5D7B386B"/>
    <w:rsid w:val="5D7C7286"/>
    <w:rsid w:val="5D8A2CFF"/>
    <w:rsid w:val="5D960EE9"/>
    <w:rsid w:val="5D9A0CFA"/>
    <w:rsid w:val="5D9A411F"/>
    <w:rsid w:val="5DB052AA"/>
    <w:rsid w:val="5DD14397"/>
    <w:rsid w:val="5DD3123F"/>
    <w:rsid w:val="5DD71C7A"/>
    <w:rsid w:val="5DD734EC"/>
    <w:rsid w:val="5DDC12FC"/>
    <w:rsid w:val="5DE2743A"/>
    <w:rsid w:val="5DE8156B"/>
    <w:rsid w:val="5DEC05A1"/>
    <w:rsid w:val="5DFD51DB"/>
    <w:rsid w:val="5E040CAD"/>
    <w:rsid w:val="5E0756C5"/>
    <w:rsid w:val="5E0B0848"/>
    <w:rsid w:val="5E1D4A67"/>
    <w:rsid w:val="5E1E4379"/>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494D5F"/>
    <w:rsid w:val="5F683B6E"/>
    <w:rsid w:val="5F742691"/>
    <w:rsid w:val="5F875C0C"/>
    <w:rsid w:val="5F8F0B9E"/>
    <w:rsid w:val="5F8F267A"/>
    <w:rsid w:val="5F9E5F96"/>
    <w:rsid w:val="5FB94C48"/>
    <w:rsid w:val="5FCE4FD3"/>
    <w:rsid w:val="5FEA3B7C"/>
    <w:rsid w:val="5FF37587"/>
    <w:rsid w:val="5FFE57B7"/>
    <w:rsid w:val="60060CD5"/>
    <w:rsid w:val="600762FF"/>
    <w:rsid w:val="60085AA3"/>
    <w:rsid w:val="600C34C4"/>
    <w:rsid w:val="600E362B"/>
    <w:rsid w:val="60183392"/>
    <w:rsid w:val="601A4CB1"/>
    <w:rsid w:val="602C236D"/>
    <w:rsid w:val="603967D7"/>
    <w:rsid w:val="603D3325"/>
    <w:rsid w:val="60470CE3"/>
    <w:rsid w:val="604A6A1F"/>
    <w:rsid w:val="604E7D07"/>
    <w:rsid w:val="605C3003"/>
    <w:rsid w:val="60673C40"/>
    <w:rsid w:val="606A52D4"/>
    <w:rsid w:val="607C3753"/>
    <w:rsid w:val="608D1D4E"/>
    <w:rsid w:val="6092569C"/>
    <w:rsid w:val="60980CAF"/>
    <w:rsid w:val="60AD0357"/>
    <w:rsid w:val="60B004BE"/>
    <w:rsid w:val="60BA604C"/>
    <w:rsid w:val="60C30855"/>
    <w:rsid w:val="60C338B1"/>
    <w:rsid w:val="60CE4C40"/>
    <w:rsid w:val="60D4742F"/>
    <w:rsid w:val="60D95276"/>
    <w:rsid w:val="60E06DEB"/>
    <w:rsid w:val="60E51841"/>
    <w:rsid w:val="610317A9"/>
    <w:rsid w:val="61110088"/>
    <w:rsid w:val="611543D6"/>
    <w:rsid w:val="61421EFD"/>
    <w:rsid w:val="615C5041"/>
    <w:rsid w:val="616C32D1"/>
    <w:rsid w:val="6182260C"/>
    <w:rsid w:val="618C1883"/>
    <w:rsid w:val="619117A1"/>
    <w:rsid w:val="61972EF8"/>
    <w:rsid w:val="61B318F9"/>
    <w:rsid w:val="61BF0FEC"/>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00C89"/>
    <w:rsid w:val="62E97D27"/>
    <w:rsid w:val="62F6011A"/>
    <w:rsid w:val="62FC09F3"/>
    <w:rsid w:val="63253DB6"/>
    <w:rsid w:val="632624E0"/>
    <w:rsid w:val="6327422B"/>
    <w:rsid w:val="632D369F"/>
    <w:rsid w:val="6333152F"/>
    <w:rsid w:val="633B249F"/>
    <w:rsid w:val="634D7789"/>
    <w:rsid w:val="63552D76"/>
    <w:rsid w:val="6359778B"/>
    <w:rsid w:val="635B63E3"/>
    <w:rsid w:val="636C452A"/>
    <w:rsid w:val="63776102"/>
    <w:rsid w:val="637E7CC8"/>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4654B"/>
    <w:rsid w:val="649B1AC2"/>
    <w:rsid w:val="64A7467B"/>
    <w:rsid w:val="64C86505"/>
    <w:rsid w:val="64C96629"/>
    <w:rsid w:val="64FE700F"/>
    <w:rsid w:val="6500327F"/>
    <w:rsid w:val="6506609B"/>
    <w:rsid w:val="65083216"/>
    <w:rsid w:val="65235DFA"/>
    <w:rsid w:val="653C3417"/>
    <w:rsid w:val="65460728"/>
    <w:rsid w:val="656868EF"/>
    <w:rsid w:val="657A608F"/>
    <w:rsid w:val="657D778E"/>
    <w:rsid w:val="657F0712"/>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222C5"/>
    <w:rsid w:val="66052F43"/>
    <w:rsid w:val="6609487E"/>
    <w:rsid w:val="661D25CE"/>
    <w:rsid w:val="66206CF2"/>
    <w:rsid w:val="66265846"/>
    <w:rsid w:val="66287C9C"/>
    <w:rsid w:val="664805B8"/>
    <w:rsid w:val="665B55EA"/>
    <w:rsid w:val="66612841"/>
    <w:rsid w:val="666359E7"/>
    <w:rsid w:val="66655F85"/>
    <w:rsid w:val="66740704"/>
    <w:rsid w:val="667C7AEC"/>
    <w:rsid w:val="66984358"/>
    <w:rsid w:val="669B7C76"/>
    <w:rsid w:val="669F1916"/>
    <w:rsid w:val="66A200F8"/>
    <w:rsid w:val="66A30EC2"/>
    <w:rsid w:val="66AA4BA8"/>
    <w:rsid w:val="66C955BD"/>
    <w:rsid w:val="66DC317D"/>
    <w:rsid w:val="66EB4314"/>
    <w:rsid w:val="66EF1480"/>
    <w:rsid w:val="670C6D27"/>
    <w:rsid w:val="670D67CE"/>
    <w:rsid w:val="67105BAB"/>
    <w:rsid w:val="671B1631"/>
    <w:rsid w:val="672736CE"/>
    <w:rsid w:val="67302DC3"/>
    <w:rsid w:val="674318B2"/>
    <w:rsid w:val="674D4B22"/>
    <w:rsid w:val="67570422"/>
    <w:rsid w:val="675D31B4"/>
    <w:rsid w:val="676D2F4B"/>
    <w:rsid w:val="677A17D2"/>
    <w:rsid w:val="677A266A"/>
    <w:rsid w:val="677C1A81"/>
    <w:rsid w:val="67A4786A"/>
    <w:rsid w:val="67A570DE"/>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250E3"/>
    <w:rsid w:val="68A34C5C"/>
    <w:rsid w:val="68CA3183"/>
    <w:rsid w:val="68E24981"/>
    <w:rsid w:val="68E31B32"/>
    <w:rsid w:val="68F73307"/>
    <w:rsid w:val="69123F86"/>
    <w:rsid w:val="691C3525"/>
    <w:rsid w:val="69216128"/>
    <w:rsid w:val="69280874"/>
    <w:rsid w:val="692E47A5"/>
    <w:rsid w:val="693A417E"/>
    <w:rsid w:val="695D6B21"/>
    <w:rsid w:val="695E22F2"/>
    <w:rsid w:val="69611EE7"/>
    <w:rsid w:val="696C708E"/>
    <w:rsid w:val="696F4D5D"/>
    <w:rsid w:val="69786BC6"/>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8A218E"/>
    <w:rsid w:val="6AAF014C"/>
    <w:rsid w:val="6ACB082B"/>
    <w:rsid w:val="6AD3247E"/>
    <w:rsid w:val="6AE308A6"/>
    <w:rsid w:val="6AF033D7"/>
    <w:rsid w:val="6B1D6FAB"/>
    <w:rsid w:val="6B287FBE"/>
    <w:rsid w:val="6B2B0EFD"/>
    <w:rsid w:val="6B2C13E4"/>
    <w:rsid w:val="6B4B0A4C"/>
    <w:rsid w:val="6B50310B"/>
    <w:rsid w:val="6B5045E2"/>
    <w:rsid w:val="6B63243A"/>
    <w:rsid w:val="6B736A2E"/>
    <w:rsid w:val="6B7C51E5"/>
    <w:rsid w:val="6B8170D6"/>
    <w:rsid w:val="6B884219"/>
    <w:rsid w:val="6B90781F"/>
    <w:rsid w:val="6BA179A3"/>
    <w:rsid w:val="6BA9194F"/>
    <w:rsid w:val="6BA92870"/>
    <w:rsid w:val="6BCC3362"/>
    <w:rsid w:val="6BE402C8"/>
    <w:rsid w:val="6BE727F5"/>
    <w:rsid w:val="6BFD6EE1"/>
    <w:rsid w:val="6C037749"/>
    <w:rsid w:val="6C14665D"/>
    <w:rsid w:val="6C155534"/>
    <w:rsid w:val="6C1B5387"/>
    <w:rsid w:val="6C240DF3"/>
    <w:rsid w:val="6C45610F"/>
    <w:rsid w:val="6C532E82"/>
    <w:rsid w:val="6C59472D"/>
    <w:rsid w:val="6C5A4564"/>
    <w:rsid w:val="6C603744"/>
    <w:rsid w:val="6C637CCF"/>
    <w:rsid w:val="6C661F7B"/>
    <w:rsid w:val="6C6F3E1F"/>
    <w:rsid w:val="6C7802EB"/>
    <w:rsid w:val="6C79488C"/>
    <w:rsid w:val="6C7C3C95"/>
    <w:rsid w:val="6C7D2EE0"/>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1551A"/>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C6E70"/>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D6B46"/>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37A21"/>
    <w:rsid w:val="6FF733A7"/>
    <w:rsid w:val="70003DD9"/>
    <w:rsid w:val="70072915"/>
    <w:rsid w:val="70172090"/>
    <w:rsid w:val="70195E88"/>
    <w:rsid w:val="701D43BA"/>
    <w:rsid w:val="702728D9"/>
    <w:rsid w:val="702B6F43"/>
    <w:rsid w:val="7032079E"/>
    <w:rsid w:val="70382FC5"/>
    <w:rsid w:val="703C186A"/>
    <w:rsid w:val="704B4560"/>
    <w:rsid w:val="70570007"/>
    <w:rsid w:val="70822BAD"/>
    <w:rsid w:val="708746BC"/>
    <w:rsid w:val="708F7F54"/>
    <w:rsid w:val="709003A6"/>
    <w:rsid w:val="709E3D85"/>
    <w:rsid w:val="70AC660B"/>
    <w:rsid w:val="70B17138"/>
    <w:rsid w:val="70BB2EF0"/>
    <w:rsid w:val="70BC2801"/>
    <w:rsid w:val="70C6646C"/>
    <w:rsid w:val="70D04D21"/>
    <w:rsid w:val="70F40A47"/>
    <w:rsid w:val="70FC2D1E"/>
    <w:rsid w:val="71015D6B"/>
    <w:rsid w:val="711059F7"/>
    <w:rsid w:val="71151975"/>
    <w:rsid w:val="71336A65"/>
    <w:rsid w:val="71545B37"/>
    <w:rsid w:val="71573E01"/>
    <w:rsid w:val="71702748"/>
    <w:rsid w:val="717F0007"/>
    <w:rsid w:val="71867894"/>
    <w:rsid w:val="71960DA0"/>
    <w:rsid w:val="719F7A78"/>
    <w:rsid w:val="71C7540C"/>
    <w:rsid w:val="71EB3FF3"/>
    <w:rsid w:val="71F64A63"/>
    <w:rsid w:val="71F870B8"/>
    <w:rsid w:val="72021233"/>
    <w:rsid w:val="720B2A1D"/>
    <w:rsid w:val="72174817"/>
    <w:rsid w:val="722246CE"/>
    <w:rsid w:val="72295EEB"/>
    <w:rsid w:val="7231040E"/>
    <w:rsid w:val="72430D76"/>
    <w:rsid w:val="72445E9B"/>
    <w:rsid w:val="724466A2"/>
    <w:rsid w:val="72671940"/>
    <w:rsid w:val="72723A93"/>
    <w:rsid w:val="727A59A6"/>
    <w:rsid w:val="727C422C"/>
    <w:rsid w:val="72840EAB"/>
    <w:rsid w:val="7292045A"/>
    <w:rsid w:val="72974DBE"/>
    <w:rsid w:val="72A20C20"/>
    <w:rsid w:val="72AC5E95"/>
    <w:rsid w:val="72AE20F2"/>
    <w:rsid w:val="72C13ED7"/>
    <w:rsid w:val="72CF1AC7"/>
    <w:rsid w:val="72E42AFA"/>
    <w:rsid w:val="72E671B2"/>
    <w:rsid w:val="72E75711"/>
    <w:rsid w:val="72E85578"/>
    <w:rsid w:val="72EB4466"/>
    <w:rsid w:val="72F1706E"/>
    <w:rsid w:val="72FD426E"/>
    <w:rsid w:val="73043CFC"/>
    <w:rsid w:val="73161882"/>
    <w:rsid w:val="732C0404"/>
    <w:rsid w:val="732C334F"/>
    <w:rsid w:val="73494287"/>
    <w:rsid w:val="734D52BA"/>
    <w:rsid w:val="734F0C79"/>
    <w:rsid w:val="734F4185"/>
    <w:rsid w:val="73516684"/>
    <w:rsid w:val="73520620"/>
    <w:rsid w:val="73575B8E"/>
    <w:rsid w:val="736249E3"/>
    <w:rsid w:val="7363274A"/>
    <w:rsid w:val="73691A4A"/>
    <w:rsid w:val="73703A87"/>
    <w:rsid w:val="737807F3"/>
    <w:rsid w:val="7388529A"/>
    <w:rsid w:val="738A6895"/>
    <w:rsid w:val="73B04FAB"/>
    <w:rsid w:val="73BC7089"/>
    <w:rsid w:val="73BE7067"/>
    <w:rsid w:val="73E52294"/>
    <w:rsid w:val="73E67832"/>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20D50"/>
    <w:rsid w:val="74B44784"/>
    <w:rsid w:val="74B808BF"/>
    <w:rsid w:val="75084E8F"/>
    <w:rsid w:val="751122B7"/>
    <w:rsid w:val="751F214A"/>
    <w:rsid w:val="75202656"/>
    <w:rsid w:val="753C7073"/>
    <w:rsid w:val="75614247"/>
    <w:rsid w:val="75632490"/>
    <w:rsid w:val="7569425F"/>
    <w:rsid w:val="75752B04"/>
    <w:rsid w:val="7577371E"/>
    <w:rsid w:val="758910BB"/>
    <w:rsid w:val="75955DA9"/>
    <w:rsid w:val="75977910"/>
    <w:rsid w:val="759F2A35"/>
    <w:rsid w:val="75B15C41"/>
    <w:rsid w:val="75C500C8"/>
    <w:rsid w:val="75C54845"/>
    <w:rsid w:val="75C76C47"/>
    <w:rsid w:val="75D12923"/>
    <w:rsid w:val="75EA364B"/>
    <w:rsid w:val="75EB01A9"/>
    <w:rsid w:val="75F20996"/>
    <w:rsid w:val="75F96973"/>
    <w:rsid w:val="75FE5A56"/>
    <w:rsid w:val="76123E1D"/>
    <w:rsid w:val="762A17C0"/>
    <w:rsid w:val="76425118"/>
    <w:rsid w:val="764838B9"/>
    <w:rsid w:val="764B15DA"/>
    <w:rsid w:val="764C09B4"/>
    <w:rsid w:val="764F5A52"/>
    <w:rsid w:val="766A4A0D"/>
    <w:rsid w:val="766B37EE"/>
    <w:rsid w:val="76810A40"/>
    <w:rsid w:val="7692667A"/>
    <w:rsid w:val="7693567A"/>
    <w:rsid w:val="76982273"/>
    <w:rsid w:val="769A7352"/>
    <w:rsid w:val="76A177B8"/>
    <w:rsid w:val="76AD2761"/>
    <w:rsid w:val="76B64E53"/>
    <w:rsid w:val="76B8001A"/>
    <w:rsid w:val="76BC314A"/>
    <w:rsid w:val="76CF29D3"/>
    <w:rsid w:val="76DA660E"/>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214B7"/>
    <w:rsid w:val="788720E7"/>
    <w:rsid w:val="78A90B04"/>
    <w:rsid w:val="78AE558D"/>
    <w:rsid w:val="78BC6AA1"/>
    <w:rsid w:val="78BD69DE"/>
    <w:rsid w:val="78C53485"/>
    <w:rsid w:val="78C76A01"/>
    <w:rsid w:val="78EC45D8"/>
    <w:rsid w:val="78EC6DF0"/>
    <w:rsid w:val="78F5335B"/>
    <w:rsid w:val="790E3028"/>
    <w:rsid w:val="791843E7"/>
    <w:rsid w:val="792730E6"/>
    <w:rsid w:val="79332105"/>
    <w:rsid w:val="79395A92"/>
    <w:rsid w:val="793A736F"/>
    <w:rsid w:val="794008FB"/>
    <w:rsid w:val="794708D9"/>
    <w:rsid w:val="794B21A1"/>
    <w:rsid w:val="7964574A"/>
    <w:rsid w:val="797A505D"/>
    <w:rsid w:val="79830E6C"/>
    <w:rsid w:val="798D1378"/>
    <w:rsid w:val="79916C4B"/>
    <w:rsid w:val="79941CF2"/>
    <w:rsid w:val="79973382"/>
    <w:rsid w:val="79BA66DB"/>
    <w:rsid w:val="79C92991"/>
    <w:rsid w:val="79D33056"/>
    <w:rsid w:val="79EC0256"/>
    <w:rsid w:val="79F60153"/>
    <w:rsid w:val="79FB6E2C"/>
    <w:rsid w:val="7A000A00"/>
    <w:rsid w:val="7A211BEB"/>
    <w:rsid w:val="7A2C23A3"/>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AF06FC9"/>
    <w:rsid w:val="7B164183"/>
    <w:rsid w:val="7B274176"/>
    <w:rsid w:val="7B307D4E"/>
    <w:rsid w:val="7B356407"/>
    <w:rsid w:val="7B401C79"/>
    <w:rsid w:val="7B440ED6"/>
    <w:rsid w:val="7B4611D7"/>
    <w:rsid w:val="7B4678D7"/>
    <w:rsid w:val="7B4B2A93"/>
    <w:rsid w:val="7B527515"/>
    <w:rsid w:val="7B5922B3"/>
    <w:rsid w:val="7B6569FF"/>
    <w:rsid w:val="7B890A24"/>
    <w:rsid w:val="7B950FDC"/>
    <w:rsid w:val="7BAA485C"/>
    <w:rsid w:val="7BAD1591"/>
    <w:rsid w:val="7BAF117E"/>
    <w:rsid w:val="7BD3716B"/>
    <w:rsid w:val="7BD77797"/>
    <w:rsid w:val="7BEC2711"/>
    <w:rsid w:val="7BF55850"/>
    <w:rsid w:val="7BFD51C3"/>
    <w:rsid w:val="7BFE117C"/>
    <w:rsid w:val="7C1054B7"/>
    <w:rsid w:val="7C143FB0"/>
    <w:rsid w:val="7C173056"/>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1254"/>
    <w:rsid w:val="7D1F61D2"/>
    <w:rsid w:val="7D260EB6"/>
    <w:rsid w:val="7D2E198F"/>
    <w:rsid w:val="7D366D67"/>
    <w:rsid w:val="7D3B3737"/>
    <w:rsid w:val="7D3D73AF"/>
    <w:rsid w:val="7D4071CA"/>
    <w:rsid w:val="7D420743"/>
    <w:rsid w:val="7D464065"/>
    <w:rsid w:val="7D5B27C9"/>
    <w:rsid w:val="7D62117D"/>
    <w:rsid w:val="7D625F7B"/>
    <w:rsid w:val="7D630A43"/>
    <w:rsid w:val="7D666D1A"/>
    <w:rsid w:val="7D771116"/>
    <w:rsid w:val="7D816CE5"/>
    <w:rsid w:val="7D834A16"/>
    <w:rsid w:val="7D8B09AA"/>
    <w:rsid w:val="7D9D438F"/>
    <w:rsid w:val="7DA514D2"/>
    <w:rsid w:val="7DCD4EB5"/>
    <w:rsid w:val="7DF83D1A"/>
    <w:rsid w:val="7DFF415C"/>
    <w:rsid w:val="7E090313"/>
    <w:rsid w:val="7E1C5C73"/>
    <w:rsid w:val="7E2E4C94"/>
    <w:rsid w:val="7E3E0FEC"/>
    <w:rsid w:val="7E3E1EF2"/>
    <w:rsid w:val="7E436D4C"/>
    <w:rsid w:val="7E5C1ABA"/>
    <w:rsid w:val="7E5F5463"/>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648B4"/>
    <w:rsid w:val="7F0C2035"/>
    <w:rsid w:val="7F0F7992"/>
    <w:rsid w:val="7F1B0865"/>
    <w:rsid w:val="7F271AA3"/>
    <w:rsid w:val="7F332190"/>
    <w:rsid w:val="7F3843DF"/>
    <w:rsid w:val="7F5131F8"/>
    <w:rsid w:val="7F542B37"/>
    <w:rsid w:val="7F6B2248"/>
    <w:rsid w:val="7F7D7A8E"/>
    <w:rsid w:val="7F872588"/>
    <w:rsid w:val="7F8725BA"/>
    <w:rsid w:val="7F8C6A8F"/>
    <w:rsid w:val="7F941FDD"/>
    <w:rsid w:val="7F980F2D"/>
    <w:rsid w:val="7F9C175D"/>
    <w:rsid w:val="7FA85877"/>
    <w:rsid w:val="7FB431A7"/>
    <w:rsid w:val="7FB6442A"/>
    <w:rsid w:val="7FBA084B"/>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semiHidden/>
    <w:qFormat/>
    <w:uiPriority w:val="0"/>
    <w:pPr>
      <w:ind w:left="1135"/>
    </w:pPr>
  </w:style>
  <w:style w:type="paragraph" w:styleId="10">
    <w:name w:val="List 2"/>
    <w:basedOn w:val="11"/>
    <w:semiHidden/>
    <w:qFormat/>
    <w:uiPriority w:val="0"/>
    <w:pPr>
      <w:ind w:left="851"/>
    </w:p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2"/>
    <w:semiHidden/>
    <w:unhideWhenUsed/>
    <w:qFormat/>
    <w:uiPriority w:val="99"/>
    <w:rPr>
      <w:rFonts w:ascii="宋体"/>
      <w:sz w:val="18"/>
      <w:szCs w:val="18"/>
    </w:rPr>
  </w:style>
  <w:style w:type="paragraph" w:styleId="14">
    <w:name w:val="annotation text"/>
    <w:basedOn w:val="1"/>
    <w:link w:val="43"/>
    <w:unhideWhenUsed/>
    <w:qFormat/>
    <w:uiPriority w:val="0"/>
    <w:pPr>
      <w:spacing w:before="120" w:after="120"/>
      <w:jc w:val="left"/>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4"/>
    <w:next w:val="14"/>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3"/>
    <w:semiHidden/>
    <w:qFormat/>
    <w:uiPriority w:val="99"/>
    <w:rPr>
      <w:rFonts w:ascii="宋体"/>
      <w:kern w:val="2"/>
      <w:sz w:val="18"/>
      <w:szCs w:val="18"/>
    </w:rPr>
  </w:style>
  <w:style w:type="character" w:customStyle="1" w:styleId="43">
    <w:name w:val="批注文字 Char"/>
    <w:basedOn w:val="26"/>
    <w:link w:val="14"/>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1"/>
    <w:link w:val="62"/>
    <w:qFormat/>
    <w:uiPriority w:val="0"/>
  </w:style>
  <w:style w:type="paragraph" w:customStyle="1" w:styleId="49">
    <w:name w:val="B3"/>
    <w:basedOn w:val="9"/>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0"/>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2025-03-28T09:00:45Z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